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5A6F60">
        <w:tblPrEx>
          <w:tblCellMar>
            <w:top w:w="0" w:type="dxa"/>
            <w:bottom w:w="0" w:type="dxa"/>
          </w:tblCellMar>
        </w:tblPrEx>
        <w:trPr>
          <w:tblCellSpacing w:w="60" w:type="dxa"/>
        </w:trPr>
        <w:tc>
          <w:tcPr>
            <w:tcW w:w="1200" w:type="pct"/>
            <w:shd w:val="clear" w:color="auto" w:fill="E7F0F9"/>
          </w:tcPr>
          <w:p w:rsidR="005A6F60" w:rsidRDefault="00B31863">
            <w:pPr>
              <w:spacing w:after="0" w:line="240" w:lineRule="auto"/>
            </w:pPr>
            <w:bookmarkStart w:id="0" w:name="_GoBack"/>
            <w:bookmarkEnd w:id="0"/>
            <w:r>
              <w:rPr>
                <w:b/>
              </w:rPr>
              <w:t>RKP broj</w:t>
            </w:r>
          </w:p>
        </w:tc>
        <w:tc>
          <w:tcPr>
            <w:tcW w:w="0" w:type="auto"/>
            <w:shd w:val="clear" w:color="auto" w:fill="E7F0F9"/>
          </w:tcPr>
          <w:p w:rsidR="005A6F60" w:rsidRDefault="00B31863">
            <w:pPr>
              <w:spacing w:after="0" w:line="240" w:lineRule="auto"/>
            </w:pPr>
            <w:r>
              <w:t>1870</w:t>
            </w:r>
          </w:p>
        </w:tc>
      </w:tr>
      <w:tr w:rsidR="005A6F60">
        <w:tblPrEx>
          <w:tblCellMar>
            <w:top w:w="0" w:type="dxa"/>
            <w:bottom w:w="0" w:type="dxa"/>
          </w:tblCellMar>
        </w:tblPrEx>
        <w:trPr>
          <w:tblCellSpacing w:w="60" w:type="dxa"/>
        </w:trPr>
        <w:tc>
          <w:tcPr>
            <w:tcW w:w="1200" w:type="pct"/>
            <w:shd w:val="clear" w:color="auto" w:fill="E7F0F9"/>
          </w:tcPr>
          <w:p w:rsidR="005A6F60" w:rsidRDefault="00B31863">
            <w:pPr>
              <w:spacing w:after="0" w:line="240" w:lineRule="auto"/>
            </w:pPr>
            <w:r>
              <w:rPr>
                <w:b/>
              </w:rPr>
              <w:t>Naziv obveznika</w:t>
            </w:r>
          </w:p>
        </w:tc>
        <w:tc>
          <w:tcPr>
            <w:tcW w:w="0" w:type="auto"/>
            <w:shd w:val="clear" w:color="auto" w:fill="E7F0F9"/>
          </w:tcPr>
          <w:p w:rsidR="005A6F60" w:rsidRDefault="00B31863">
            <w:pPr>
              <w:spacing w:after="0" w:line="240" w:lineRule="auto"/>
            </w:pPr>
            <w:r>
              <w:t>SVEUČILIŠTE U ZAGREBU STOMATOLOŠKI FAKULTET</w:t>
            </w:r>
          </w:p>
        </w:tc>
      </w:tr>
      <w:tr w:rsidR="005A6F60">
        <w:tblPrEx>
          <w:tblCellMar>
            <w:top w:w="0" w:type="dxa"/>
            <w:bottom w:w="0" w:type="dxa"/>
          </w:tblCellMar>
        </w:tblPrEx>
        <w:trPr>
          <w:tblCellSpacing w:w="60" w:type="dxa"/>
        </w:trPr>
        <w:tc>
          <w:tcPr>
            <w:tcW w:w="1200" w:type="pct"/>
            <w:shd w:val="clear" w:color="auto" w:fill="E7F0F9"/>
          </w:tcPr>
          <w:p w:rsidR="005A6F60" w:rsidRDefault="00B31863">
            <w:pPr>
              <w:spacing w:after="0" w:line="240" w:lineRule="auto"/>
            </w:pPr>
            <w:r>
              <w:rPr>
                <w:b/>
              </w:rPr>
              <w:t>Razina</w:t>
            </w:r>
          </w:p>
        </w:tc>
        <w:tc>
          <w:tcPr>
            <w:tcW w:w="0" w:type="auto"/>
            <w:shd w:val="clear" w:color="auto" w:fill="E7F0F9"/>
          </w:tcPr>
          <w:p w:rsidR="005A6F60" w:rsidRDefault="00B31863">
            <w:pPr>
              <w:spacing w:after="0" w:line="240" w:lineRule="auto"/>
            </w:pPr>
            <w:r>
              <w:t>11</w:t>
            </w:r>
          </w:p>
        </w:tc>
      </w:tr>
    </w:tbl>
    <w:p w:rsidR="005A6F60" w:rsidRDefault="00B31863">
      <w:r>
        <w:br/>
      </w:r>
    </w:p>
    <w:p w:rsidR="005A6F60" w:rsidRDefault="00B31863">
      <w:pPr>
        <w:spacing w:line="240" w:lineRule="auto"/>
        <w:jc w:val="center"/>
      </w:pPr>
      <w:r>
        <w:rPr>
          <w:b/>
          <w:sz w:val="28"/>
        </w:rPr>
        <w:t>BILJEŠKE UZ FINANCIJSKE IZVJEŠTAJE</w:t>
      </w:r>
    </w:p>
    <w:p w:rsidR="005A6F60" w:rsidRDefault="00B31863">
      <w:pPr>
        <w:spacing w:line="240" w:lineRule="auto"/>
        <w:jc w:val="center"/>
      </w:pPr>
      <w:r>
        <w:rPr>
          <w:b/>
          <w:sz w:val="28"/>
        </w:rPr>
        <w:t>ZA RAZDOBLJE</w:t>
      </w:r>
    </w:p>
    <w:p w:rsidR="005A6F60" w:rsidRDefault="00B31863">
      <w:pPr>
        <w:spacing w:line="240" w:lineRule="auto"/>
        <w:jc w:val="center"/>
      </w:pPr>
      <w:r>
        <w:rPr>
          <w:b/>
          <w:sz w:val="28"/>
        </w:rPr>
        <w:t>I - XII 2025.</w:t>
      </w:r>
    </w:p>
    <w:p w:rsidR="005A6F60" w:rsidRDefault="005A6F60"/>
    <w:p w:rsidR="005A6F60" w:rsidRDefault="00B31863">
      <w:pPr>
        <w:keepNext/>
        <w:spacing w:line="240" w:lineRule="auto"/>
        <w:jc w:val="center"/>
      </w:pPr>
      <w:r>
        <w:rPr>
          <w:b/>
          <w:sz w:val="28"/>
        </w:rPr>
        <w:t>Izvještaj o prihodima i rashodima, primicima i izdacima</w:t>
      </w:r>
    </w:p>
    <w:p w:rsidR="005A6F60" w:rsidRDefault="00B31863">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6</w:t>
            </w:r>
          </w:p>
        </w:tc>
        <w:tc>
          <w:tcPr>
            <w:tcW w:w="3180" w:type="dxa"/>
            <w:tcMar>
              <w:top w:w="0" w:type="dxa"/>
              <w:bottom w:w="0" w:type="dxa"/>
            </w:tcMar>
            <w:vAlign w:val="center"/>
          </w:tcPr>
          <w:p w:rsidR="005A6F60" w:rsidRDefault="00B31863">
            <w:pPr>
              <w:keepNext/>
              <w:keepLines/>
              <w:spacing w:after="0" w:line="240" w:lineRule="auto"/>
            </w:pPr>
            <w:r>
              <w:rPr>
                <w:sz w:val="18"/>
              </w:rPr>
              <w:t>PRIHODI POSLOVANJA (šifre 61+62+63+64+65+66+67+68)</w:t>
            </w:r>
          </w:p>
        </w:tc>
        <w:tc>
          <w:tcPr>
            <w:tcW w:w="700" w:type="dxa"/>
            <w:tcMar>
              <w:top w:w="0" w:type="dxa"/>
              <w:bottom w:w="0" w:type="dxa"/>
            </w:tcMar>
            <w:vAlign w:val="center"/>
          </w:tcPr>
          <w:p w:rsidR="005A6F60" w:rsidRDefault="00B31863">
            <w:pPr>
              <w:keepNext/>
              <w:keepLines/>
              <w:spacing w:after="0" w:line="240" w:lineRule="auto"/>
            </w:pPr>
            <w:r>
              <w:rPr>
                <w:sz w:val="18"/>
              </w:rPr>
              <w:t>6</w:t>
            </w:r>
          </w:p>
        </w:tc>
        <w:tc>
          <w:tcPr>
            <w:tcW w:w="1860" w:type="dxa"/>
            <w:tcMar>
              <w:top w:w="0" w:type="dxa"/>
              <w:bottom w:w="0" w:type="dxa"/>
            </w:tcMar>
            <w:vAlign w:val="center"/>
          </w:tcPr>
          <w:p w:rsidR="005A6F60" w:rsidRDefault="00B31863">
            <w:pPr>
              <w:keepNext/>
              <w:keepLines/>
              <w:spacing w:after="0" w:line="240" w:lineRule="auto"/>
              <w:jc w:val="right"/>
            </w:pPr>
            <w:r>
              <w:rPr>
                <w:sz w:val="18"/>
              </w:rPr>
              <w:t>10.211.984,37</w:t>
            </w:r>
          </w:p>
        </w:tc>
        <w:tc>
          <w:tcPr>
            <w:tcW w:w="1860" w:type="dxa"/>
            <w:tcMar>
              <w:top w:w="0" w:type="dxa"/>
              <w:bottom w:w="0" w:type="dxa"/>
            </w:tcMar>
            <w:vAlign w:val="center"/>
          </w:tcPr>
          <w:p w:rsidR="005A6F60" w:rsidRDefault="00B31863">
            <w:pPr>
              <w:keepNext/>
              <w:keepLines/>
              <w:spacing w:after="0" w:line="240" w:lineRule="auto"/>
              <w:jc w:val="right"/>
            </w:pPr>
            <w:r>
              <w:rPr>
                <w:sz w:val="18"/>
              </w:rPr>
              <w:t>11.447.812,16</w:t>
            </w:r>
          </w:p>
        </w:tc>
        <w:tc>
          <w:tcPr>
            <w:tcW w:w="700" w:type="dxa"/>
            <w:tcMar>
              <w:top w:w="0" w:type="dxa"/>
              <w:bottom w:w="0" w:type="dxa"/>
            </w:tcMar>
            <w:vAlign w:val="center"/>
          </w:tcPr>
          <w:p w:rsidR="005A6F60" w:rsidRDefault="00B31863">
            <w:pPr>
              <w:keepNext/>
              <w:keepLines/>
              <w:spacing w:after="0" w:line="240" w:lineRule="auto"/>
              <w:jc w:val="right"/>
            </w:pPr>
            <w:r>
              <w:rPr>
                <w:sz w:val="18"/>
              </w:rPr>
              <w:t>112,1</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3</w:t>
            </w:r>
          </w:p>
        </w:tc>
        <w:tc>
          <w:tcPr>
            <w:tcW w:w="3180" w:type="dxa"/>
            <w:tcMar>
              <w:top w:w="0" w:type="dxa"/>
              <w:bottom w:w="0" w:type="dxa"/>
            </w:tcMar>
            <w:vAlign w:val="center"/>
          </w:tcPr>
          <w:p w:rsidR="005A6F60" w:rsidRDefault="00B31863">
            <w:pPr>
              <w:keepNext/>
              <w:keepLines/>
              <w:spacing w:after="0" w:line="240" w:lineRule="auto"/>
            </w:pPr>
            <w:r>
              <w:rPr>
                <w:sz w:val="18"/>
              </w:rPr>
              <w:t xml:space="preserve">RASHODI POSLOVANJA (šifre </w:t>
            </w:r>
            <w:r>
              <w:rPr>
                <w:sz w:val="18"/>
              </w:rPr>
              <w:t>31+32+34+35+36+37+38)</w:t>
            </w:r>
          </w:p>
        </w:tc>
        <w:tc>
          <w:tcPr>
            <w:tcW w:w="700" w:type="dxa"/>
            <w:tcMar>
              <w:top w:w="0" w:type="dxa"/>
              <w:bottom w:w="0" w:type="dxa"/>
            </w:tcMar>
            <w:vAlign w:val="center"/>
          </w:tcPr>
          <w:p w:rsidR="005A6F60" w:rsidRDefault="00B31863">
            <w:pPr>
              <w:keepNext/>
              <w:keepLines/>
              <w:spacing w:after="0" w:line="240" w:lineRule="auto"/>
            </w:pPr>
            <w:r>
              <w:rPr>
                <w:sz w:val="18"/>
              </w:rPr>
              <w:t>3</w:t>
            </w:r>
          </w:p>
        </w:tc>
        <w:tc>
          <w:tcPr>
            <w:tcW w:w="1860" w:type="dxa"/>
            <w:tcMar>
              <w:top w:w="0" w:type="dxa"/>
              <w:bottom w:w="0" w:type="dxa"/>
            </w:tcMar>
            <w:vAlign w:val="center"/>
          </w:tcPr>
          <w:p w:rsidR="005A6F60" w:rsidRDefault="00B31863">
            <w:pPr>
              <w:keepNext/>
              <w:keepLines/>
              <w:spacing w:after="0" w:line="240" w:lineRule="auto"/>
              <w:jc w:val="right"/>
            </w:pPr>
            <w:r>
              <w:rPr>
                <w:sz w:val="18"/>
              </w:rPr>
              <w:t>9.439.236,78</w:t>
            </w:r>
          </w:p>
        </w:tc>
        <w:tc>
          <w:tcPr>
            <w:tcW w:w="1860" w:type="dxa"/>
            <w:tcMar>
              <w:top w:w="0" w:type="dxa"/>
              <w:bottom w:w="0" w:type="dxa"/>
            </w:tcMar>
            <w:vAlign w:val="center"/>
          </w:tcPr>
          <w:p w:rsidR="005A6F60" w:rsidRDefault="00B31863">
            <w:pPr>
              <w:keepNext/>
              <w:keepLines/>
              <w:spacing w:after="0" w:line="240" w:lineRule="auto"/>
              <w:jc w:val="right"/>
            </w:pPr>
            <w:r>
              <w:rPr>
                <w:sz w:val="18"/>
              </w:rPr>
              <w:t>11.075.950,88</w:t>
            </w:r>
          </w:p>
        </w:tc>
        <w:tc>
          <w:tcPr>
            <w:tcW w:w="700" w:type="dxa"/>
            <w:tcMar>
              <w:top w:w="0" w:type="dxa"/>
              <w:bottom w:w="0" w:type="dxa"/>
            </w:tcMar>
            <w:vAlign w:val="center"/>
          </w:tcPr>
          <w:p w:rsidR="005A6F60" w:rsidRDefault="00B31863">
            <w:pPr>
              <w:keepNext/>
              <w:keepLines/>
              <w:spacing w:after="0" w:line="240" w:lineRule="auto"/>
              <w:jc w:val="right"/>
            </w:pPr>
            <w:r>
              <w:rPr>
                <w:sz w:val="18"/>
              </w:rPr>
              <w:t>117,3</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5A6F60">
            <w:pPr>
              <w:keepNext/>
              <w:keepLines/>
              <w:spacing w:after="0" w:line="240" w:lineRule="auto"/>
            </w:pPr>
          </w:p>
        </w:tc>
        <w:tc>
          <w:tcPr>
            <w:tcW w:w="3180" w:type="dxa"/>
            <w:tcMar>
              <w:top w:w="0" w:type="dxa"/>
              <w:bottom w:w="0" w:type="dxa"/>
            </w:tcMar>
            <w:vAlign w:val="center"/>
          </w:tcPr>
          <w:p w:rsidR="005A6F60" w:rsidRDefault="00B31863">
            <w:pPr>
              <w:keepNext/>
              <w:keepLines/>
              <w:spacing w:after="0" w:line="240" w:lineRule="auto"/>
            </w:pPr>
            <w:r>
              <w:rPr>
                <w:b/>
                <w:sz w:val="18"/>
              </w:rPr>
              <w:t>VIŠAK PRIHODA POSLOVANJA (šifre 6-Z005)</w:t>
            </w:r>
          </w:p>
        </w:tc>
        <w:tc>
          <w:tcPr>
            <w:tcW w:w="700" w:type="dxa"/>
            <w:tcMar>
              <w:top w:w="0" w:type="dxa"/>
              <w:bottom w:w="0" w:type="dxa"/>
            </w:tcMar>
            <w:vAlign w:val="center"/>
          </w:tcPr>
          <w:p w:rsidR="005A6F60" w:rsidRDefault="00B31863">
            <w:pPr>
              <w:keepNext/>
              <w:keepLines/>
              <w:spacing w:after="0" w:line="240" w:lineRule="auto"/>
            </w:pPr>
            <w:r>
              <w:rPr>
                <w:b/>
                <w:sz w:val="18"/>
              </w:rPr>
              <w:t>X001</w:t>
            </w:r>
          </w:p>
        </w:tc>
        <w:tc>
          <w:tcPr>
            <w:tcW w:w="1860" w:type="dxa"/>
            <w:tcMar>
              <w:top w:w="0" w:type="dxa"/>
              <w:bottom w:w="0" w:type="dxa"/>
            </w:tcMar>
            <w:vAlign w:val="center"/>
          </w:tcPr>
          <w:p w:rsidR="005A6F60" w:rsidRDefault="00B31863">
            <w:pPr>
              <w:keepNext/>
              <w:keepLines/>
              <w:spacing w:after="0" w:line="240" w:lineRule="auto"/>
              <w:jc w:val="right"/>
            </w:pPr>
            <w:r>
              <w:rPr>
                <w:b/>
                <w:sz w:val="18"/>
              </w:rPr>
              <w:t>772.747,59</w:t>
            </w:r>
          </w:p>
        </w:tc>
        <w:tc>
          <w:tcPr>
            <w:tcW w:w="1860" w:type="dxa"/>
            <w:tcMar>
              <w:top w:w="0" w:type="dxa"/>
              <w:bottom w:w="0" w:type="dxa"/>
            </w:tcMar>
            <w:vAlign w:val="center"/>
          </w:tcPr>
          <w:p w:rsidR="005A6F60" w:rsidRDefault="00B31863">
            <w:pPr>
              <w:keepNext/>
              <w:keepLines/>
              <w:spacing w:after="0" w:line="240" w:lineRule="auto"/>
              <w:jc w:val="right"/>
            </w:pPr>
            <w:r>
              <w:rPr>
                <w:b/>
                <w:sz w:val="18"/>
              </w:rPr>
              <w:t>371.861,28</w:t>
            </w:r>
          </w:p>
        </w:tc>
        <w:tc>
          <w:tcPr>
            <w:tcW w:w="700" w:type="dxa"/>
            <w:tcMar>
              <w:top w:w="0" w:type="dxa"/>
              <w:bottom w:w="0" w:type="dxa"/>
            </w:tcMar>
            <w:vAlign w:val="center"/>
          </w:tcPr>
          <w:p w:rsidR="005A6F60" w:rsidRDefault="00B31863">
            <w:pPr>
              <w:keepNext/>
              <w:keepLines/>
              <w:spacing w:after="0" w:line="240" w:lineRule="auto"/>
              <w:jc w:val="right"/>
            </w:pPr>
            <w:r>
              <w:rPr>
                <w:b/>
                <w:sz w:val="18"/>
              </w:rPr>
              <w:t>48,1</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7</w:t>
            </w:r>
          </w:p>
        </w:tc>
        <w:tc>
          <w:tcPr>
            <w:tcW w:w="3180" w:type="dxa"/>
            <w:tcMar>
              <w:top w:w="0" w:type="dxa"/>
              <w:bottom w:w="0" w:type="dxa"/>
            </w:tcMar>
            <w:vAlign w:val="center"/>
          </w:tcPr>
          <w:p w:rsidR="005A6F60" w:rsidRDefault="00B31863">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5A6F60" w:rsidRDefault="00B31863">
            <w:pPr>
              <w:keepNext/>
              <w:keepLines/>
              <w:spacing w:after="0" w:line="240" w:lineRule="auto"/>
            </w:pPr>
            <w:r>
              <w:rPr>
                <w:sz w:val="18"/>
              </w:rPr>
              <w:t>7</w:t>
            </w:r>
          </w:p>
        </w:tc>
        <w:tc>
          <w:tcPr>
            <w:tcW w:w="1860" w:type="dxa"/>
            <w:tcMar>
              <w:top w:w="0" w:type="dxa"/>
              <w:bottom w:w="0" w:type="dxa"/>
            </w:tcMar>
            <w:vAlign w:val="center"/>
          </w:tcPr>
          <w:p w:rsidR="005A6F60" w:rsidRDefault="00B31863">
            <w:pPr>
              <w:keepNext/>
              <w:keepLines/>
              <w:spacing w:after="0" w:line="240" w:lineRule="auto"/>
              <w:jc w:val="right"/>
            </w:pPr>
            <w:r>
              <w:rPr>
                <w:sz w:val="18"/>
              </w:rPr>
              <w:t>469,58</w:t>
            </w:r>
          </w:p>
        </w:tc>
        <w:tc>
          <w:tcPr>
            <w:tcW w:w="1860" w:type="dxa"/>
            <w:tcMar>
              <w:top w:w="0" w:type="dxa"/>
              <w:bottom w:w="0" w:type="dxa"/>
            </w:tcMar>
            <w:vAlign w:val="center"/>
          </w:tcPr>
          <w:p w:rsidR="005A6F60" w:rsidRDefault="00B31863">
            <w:pPr>
              <w:keepNext/>
              <w:keepLines/>
              <w:spacing w:after="0" w:line="240" w:lineRule="auto"/>
              <w:jc w:val="right"/>
            </w:pPr>
            <w:r>
              <w:rPr>
                <w:sz w:val="18"/>
              </w:rPr>
              <w:t>353,15</w:t>
            </w:r>
          </w:p>
        </w:tc>
        <w:tc>
          <w:tcPr>
            <w:tcW w:w="700" w:type="dxa"/>
            <w:tcMar>
              <w:top w:w="0" w:type="dxa"/>
              <w:bottom w:w="0" w:type="dxa"/>
            </w:tcMar>
            <w:vAlign w:val="center"/>
          </w:tcPr>
          <w:p w:rsidR="005A6F60" w:rsidRDefault="00B31863">
            <w:pPr>
              <w:keepNext/>
              <w:keepLines/>
              <w:spacing w:after="0" w:line="240" w:lineRule="auto"/>
              <w:jc w:val="right"/>
            </w:pPr>
            <w:r>
              <w:rPr>
                <w:sz w:val="18"/>
              </w:rPr>
              <w:t>75,2</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4</w:t>
            </w:r>
          </w:p>
        </w:tc>
        <w:tc>
          <w:tcPr>
            <w:tcW w:w="3180" w:type="dxa"/>
            <w:tcMar>
              <w:top w:w="0" w:type="dxa"/>
              <w:bottom w:w="0" w:type="dxa"/>
            </w:tcMar>
            <w:vAlign w:val="center"/>
          </w:tcPr>
          <w:p w:rsidR="005A6F60" w:rsidRDefault="00B31863">
            <w:pPr>
              <w:keepNext/>
              <w:keepLines/>
              <w:spacing w:after="0" w:line="240" w:lineRule="auto"/>
            </w:pPr>
            <w:r>
              <w:rPr>
                <w:sz w:val="18"/>
              </w:rPr>
              <w:t xml:space="preserve">Rashodi za nabavu nefinancijske </w:t>
            </w:r>
            <w:r>
              <w:rPr>
                <w:sz w:val="18"/>
              </w:rPr>
              <w:t>imovine (šifre 41+42+43+44+45)</w:t>
            </w:r>
          </w:p>
        </w:tc>
        <w:tc>
          <w:tcPr>
            <w:tcW w:w="700" w:type="dxa"/>
            <w:tcMar>
              <w:top w:w="0" w:type="dxa"/>
              <w:bottom w:w="0" w:type="dxa"/>
            </w:tcMar>
            <w:vAlign w:val="center"/>
          </w:tcPr>
          <w:p w:rsidR="005A6F60" w:rsidRDefault="00B31863">
            <w:pPr>
              <w:keepNext/>
              <w:keepLines/>
              <w:spacing w:after="0" w:line="240" w:lineRule="auto"/>
            </w:pPr>
            <w:r>
              <w:rPr>
                <w:sz w:val="18"/>
              </w:rPr>
              <w:t>4</w:t>
            </w:r>
          </w:p>
        </w:tc>
        <w:tc>
          <w:tcPr>
            <w:tcW w:w="1860" w:type="dxa"/>
            <w:tcMar>
              <w:top w:w="0" w:type="dxa"/>
              <w:bottom w:w="0" w:type="dxa"/>
            </w:tcMar>
            <w:vAlign w:val="center"/>
          </w:tcPr>
          <w:p w:rsidR="005A6F60" w:rsidRDefault="00B31863">
            <w:pPr>
              <w:keepNext/>
              <w:keepLines/>
              <w:spacing w:after="0" w:line="240" w:lineRule="auto"/>
              <w:jc w:val="right"/>
            </w:pPr>
            <w:r>
              <w:rPr>
                <w:sz w:val="18"/>
              </w:rPr>
              <w:t>430.865,55</w:t>
            </w:r>
          </w:p>
        </w:tc>
        <w:tc>
          <w:tcPr>
            <w:tcW w:w="1860" w:type="dxa"/>
            <w:tcMar>
              <w:top w:w="0" w:type="dxa"/>
              <w:bottom w:w="0" w:type="dxa"/>
            </w:tcMar>
            <w:vAlign w:val="center"/>
          </w:tcPr>
          <w:p w:rsidR="005A6F60" w:rsidRDefault="00B31863">
            <w:pPr>
              <w:keepNext/>
              <w:keepLines/>
              <w:spacing w:after="0" w:line="240" w:lineRule="auto"/>
              <w:jc w:val="right"/>
            </w:pPr>
            <w:r>
              <w:rPr>
                <w:sz w:val="18"/>
              </w:rPr>
              <w:t>771.827,51</w:t>
            </w:r>
          </w:p>
        </w:tc>
        <w:tc>
          <w:tcPr>
            <w:tcW w:w="700" w:type="dxa"/>
            <w:tcMar>
              <w:top w:w="0" w:type="dxa"/>
              <w:bottom w:w="0" w:type="dxa"/>
            </w:tcMar>
            <w:vAlign w:val="center"/>
          </w:tcPr>
          <w:p w:rsidR="005A6F60" w:rsidRDefault="00B31863">
            <w:pPr>
              <w:keepNext/>
              <w:keepLines/>
              <w:spacing w:after="0" w:line="240" w:lineRule="auto"/>
              <w:jc w:val="right"/>
            </w:pPr>
            <w:r>
              <w:rPr>
                <w:sz w:val="18"/>
              </w:rPr>
              <w:t>179,1</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5A6F60">
            <w:pPr>
              <w:keepNext/>
              <w:keepLines/>
              <w:spacing w:after="0" w:line="240" w:lineRule="auto"/>
            </w:pPr>
          </w:p>
        </w:tc>
        <w:tc>
          <w:tcPr>
            <w:tcW w:w="3180" w:type="dxa"/>
            <w:tcMar>
              <w:top w:w="0" w:type="dxa"/>
              <w:bottom w:w="0" w:type="dxa"/>
            </w:tcMar>
            <w:vAlign w:val="center"/>
          </w:tcPr>
          <w:p w:rsidR="005A6F60" w:rsidRDefault="00B31863">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5A6F60" w:rsidRDefault="00B31863">
            <w:pPr>
              <w:keepNext/>
              <w:keepLines/>
              <w:spacing w:after="0" w:line="240" w:lineRule="auto"/>
            </w:pPr>
            <w:r>
              <w:rPr>
                <w:b/>
                <w:sz w:val="18"/>
              </w:rPr>
              <w:t>Y002</w:t>
            </w:r>
          </w:p>
        </w:tc>
        <w:tc>
          <w:tcPr>
            <w:tcW w:w="1860" w:type="dxa"/>
            <w:tcMar>
              <w:top w:w="0" w:type="dxa"/>
              <w:bottom w:w="0" w:type="dxa"/>
            </w:tcMar>
            <w:vAlign w:val="center"/>
          </w:tcPr>
          <w:p w:rsidR="005A6F60" w:rsidRDefault="00B31863">
            <w:pPr>
              <w:keepNext/>
              <w:keepLines/>
              <w:spacing w:after="0" w:line="240" w:lineRule="auto"/>
              <w:jc w:val="right"/>
            </w:pPr>
            <w:r>
              <w:rPr>
                <w:b/>
                <w:sz w:val="18"/>
              </w:rPr>
              <w:t>430.395,97</w:t>
            </w:r>
          </w:p>
        </w:tc>
        <w:tc>
          <w:tcPr>
            <w:tcW w:w="1860" w:type="dxa"/>
            <w:tcMar>
              <w:top w:w="0" w:type="dxa"/>
              <w:bottom w:w="0" w:type="dxa"/>
            </w:tcMar>
            <w:vAlign w:val="center"/>
          </w:tcPr>
          <w:p w:rsidR="005A6F60" w:rsidRDefault="00B31863">
            <w:pPr>
              <w:keepNext/>
              <w:keepLines/>
              <w:spacing w:after="0" w:line="240" w:lineRule="auto"/>
              <w:jc w:val="right"/>
            </w:pPr>
            <w:r>
              <w:rPr>
                <w:b/>
                <w:sz w:val="18"/>
              </w:rPr>
              <w:t>771.474,36</w:t>
            </w:r>
          </w:p>
        </w:tc>
        <w:tc>
          <w:tcPr>
            <w:tcW w:w="700" w:type="dxa"/>
            <w:tcMar>
              <w:top w:w="0" w:type="dxa"/>
              <w:bottom w:w="0" w:type="dxa"/>
            </w:tcMar>
            <w:vAlign w:val="center"/>
          </w:tcPr>
          <w:p w:rsidR="005A6F60" w:rsidRDefault="00B31863">
            <w:pPr>
              <w:keepNext/>
              <w:keepLines/>
              <w:spacing w:after="0" w:line="240" w:lineRule="auto"/>
              <w:jc w:val="right"/>
            </w:pPr>
            <w:r>
              <w:rPr>
                <w:b/>
                <w:sz w:val="18"/>
              </w:rPr>
              <w:t>179,2</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8</w:t>
            </w:r>
          </w:p>
        </w:tc>
        <w:tc>
          <w:tcPr>
            <w:tcW w:w="3180" w:type="dxa"/>
            <w:tcMar>
              <w:top w:w="0" w:type="dxa"/>
              <w:bottom w:w="0" w:type="dxa"/>
            </w:tcMar>
            <w:vAlign w:val="center"/>
          </w:tcPr>
          <w:p w:rsidR="005A6F60" w:rsidRDefault="00B31863">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5A6F60" w:rsidRDefault="00B31863">
            <w:pPr>
              <w:keepNext/>
              <w:keepLines/>
              <w:spacing w:after="0" w:line="240" w:lineRule="auto"/>
            </w:pPr>
            <w:r>
              <w:rPr>
                <w:sz w:val="18"/>
              </w:rPr>
              <w:t>8</w:t>
            </w:r>
          </w:p>
        </w:tc>
        <w:tc>
          <w:tcPr>
            <w:tcW w:w="1860" w:type="dxa"/>
            <w:tcMar>
              <w:top w:w="0" w:type="dxa"/>
              <w:bottom w:w="0" w:type="dxa"/>
            </w:tcMar>
            <w:vAlign w:val="center"/>
          </w:tcPr>
          <w:p w:rsidR="005A6F60" w:rsidRDefault="00B31863">
            <w:pPr>
              <w:keepNext/>
              <w:keepLines/>
              <w:spacing w:after="0" w:line="240" w:lineRule="auto"/>
              <w:jc w:val="right"/>
            </w:pPr>
            <w:r>
              <w:rPr>
                <w:sz w:val="18"/>
              </w:rPr>
              <w:t>0,00</w:t>
            </w:r>
          </w:p>
        </w:tc>
        <w:tc>
          <w:tcPr>
            <w:tcW w:w="1860" w:type="dxa"/>
            <w:tcMar>
              <w:top w:w="0" w:type="dxa"/>
              <w:bottom w:w="0" w:type="dxa"/>
            </w:tcMar>
            <w:vAlign w:val="center"/>
          </w:tcPr>
          <w:p w:rsidR="005A6F60" w:rsidRDefault="00B31863">
            <w:pPr>
              <w:keepNext/>
              <w:keepLines/>
              <w:spacing w:after="0" w:line="240" w:lineRule="auto"/>
              <w:jc w:val="right"/>
            </w:pPr>
            <w:r>
              <w:rPr>
                <w:sz w:val="18"/>
              </w:rPr>
              <w:t>0,00</w:t>
            </w:r>
          </w:p>
        </w:tc>
        <w:tc>
          <w:tcPr>
            <w:tcW w:w="700" w:type="dxa"/>
            <w:tcMar>
              <w:top w:w="0" w:type="dxa"/>
              <w:bottom w:w="0" w:type="dxa"/>
            </w:tcMar>
            <w:vAlign w:val="center"/>
          </w:tcPr>
          <w:p w:rsidR="005A6F60" w:rsidRDefault="00B31863">
            <w:pPr>
              <w:keepNext/>
              <w:keepLines/>
              <w:spacing w:after="0" w:line="240" w:lineRule="auto"/>
              <w:jc w:val="right"/>
            </w:pPr>
            <w:r>
              <w:rPr>
                <w:sz w:val="18"/>
              </w:rPr>
              <w:t>-</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5</w:t>
            </w:r>
          </w:p>
        </w:tc>
        <w:tc>
          <w:tcPr>
            <w:tcW w:w="3180" w:type="dxa"/>
            <w:tcMar>
              <w:top w:w="0" w:type="dxa"/>
              <w:bottom w:w="0" w:type="dxa"/>
            </w:tcMar>
            <w:vAlign w:val="center"/>
          </w:tcPr>
          <w:p w:rsidR="005A6F60" w:rsidRDefault="00B31863">
            <w:pPr>
              <w:keepNext/>
              <w:keepLines/>
              <w:spacing w:after="0" w:line="240" w:lineRule="auto"/>
            </w:pPr>
            <w:r>
              <w:rPr>
                <w:sz w:val="18"/>
              </w:rPr>
              <w:t xml:space="preserve">Izdaci za </w:t>
            </w:r>
            <w:r>
              <w:rPr>
                <w:sz w:val="18"/>
              </w:rPr>
              <w:t>financijsku imovinu i otplate zajmova (šifre 51+52+53+54+55)</w:t>
            </w:r>
          </w:p>
        </w:tc>
        <w:tc>
          <w:tcPr>
            <w:tcW w:w="700" w:type="dxa"/>
            <w:tcMar>
              <w:top w:w="0" w:type="dxa"/>
              <w:bottom w:w="0" w:type="dxa"/>
            </w:tcMar>
            <w:vAlign w:val="center"/>
          </w:tcPr>
          <w:p w:rsidR="005A6F60" w:rsidRDefault="00B31863">
            <w:pPr>
              <w:keepNext/>
              <w:keepLines/>
              <w:spacing w:after="0" w:line="240" w:lineRule="auto"/>
            </w:pPr>
            <w:r>
              <w:rPr>
                <w:sz w:val="18"/>
              </w:rPr>
              <w:t>5</w:t>
            </w:r>
          </w:p>
        </w:tc>
        <w:tc>
          <w:tcPr>
            <w:tcW w:w="1860" w:type="dxa"/>
            <w:tcMar>
              <w:top w:w="0" w:type="dxa"/>
              <w:bottom w:w="0" w:type="dxa"/>
            </w:tcMar>
            <w:vAlign w:val="center"/>
          </w:tcPr>
          <w:p w:rsidR="005A6F60" w:rsidRDefault="00B31863">
            <w:pPr>
              <w:keepNext/>
              <w:keepLines/>
              <w:spacing w:after="0" w:line="240" w:lineRule="auto"/>
              <w:jc w:val="right"/>
            </w:pPr>
            <w:r>
              <w:rPr>
                <w:sz w:val="18"/>
              </w:rPr>
              <w:t>0,00</w:t>
            </w:r>
          </w:p>
        </w:tc>
        <w:tc>
          <w:tcPr>
            <w:tcW w:w="1860" w:type="dxa"/>
            <w:tcMar>
              <w:top w:w="0" w:type="dxa"/>
              <w:bottom w:w="0" w:type="dxa"/>
            </w:tcMar>
            <w:vAlign w:val="center"/>
          </w:tcPr>
          <w:p w:rsidR="005A6F60" w:rsidRDefault="00B31863">
            <w:pPr>
              <w:keepNext/>
              <w:keepLines/>
              <w:spacing w:after="0" w:line="240" w:lineRule="auto"/>
              <w:jc w:val="right"/>
            </w:pPr>
            <w:r>
              <w:rPr>
                <w:sz w:val="18"/>
              </w:rPr>
              <w:t>0,00</w:t>
            </w:r>
          </w:p>
        </w:tc>
        <w:tc>
          <w:tcPr>
            <w:tcW w:w="700" w:type="dxa"/>
            <w:tcMar>
              <w:top w:w="0" w:type="dxa"/>
              <w:bottom w:w="0" w:type="dxa"/>
            </w:tcMar>
            <w:vAlign w:val="center"/>
          </w:tcPr>
          <w:p w:rsidR="005A6F60" w:rsidRDefault="00B31863">
            <w:pPr>
              <w:keepNext/>
              <w:keepLines/>
              <w:spacing w:after="0" w:line="240" w:lineRule="auto"/>
              <w:jc w:val="right"/>
            </w:pPr>
            <w:r>
              <w:rPr>
                <w:sz w:val="18"/>
              </w:rPr>
              <w:t>-</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5A6F60">
            <w:pPr>
              <w:keepNext/>
              <w:keepLines/>
              <w:spacing w:after="0" w:line="240" w:lineRule="auto"/>
            </w:pPr>
          </w:p>
        </w:tc>
        <w:tc>
          <w:tcPr>
            <w:tcW w:w="3180" w:type="dxa"/>
            <w:tcMar>
              <w:top w:w="0" w:type="dxa"/>
              <w:bottom w:w="0" w:type="dxa"/>
            </w:tcMar>
            <w:vAlign w:val="center"/>
          </w:tcPr>
          <w:p w:rsidR="005A6F60" w:rsidRDefault="00B31863">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5A6F60" w:rsidRDefault="00B31863">
            <w:pPr>
              <w:keepNext/>
              <w:keepLines/>
              <w:spacing w:after="0" w:line="240" w:lineRule="auto"/>
            </w:pPr>
            <w:r>
              <w:rPr>
                <w:b/>
                <w:sz w:val="18"/>
              </w:rPr>
              <w:t>X003, Y003</w:t>
            </w:r>
          </w:p>
        </w:tc>
        <w:tc>
          <w:tcPr>
            <w:tcW w:w="1860" w:type="dxa"/>
            <w:tcMar>
              <w:top w:w="0" w:type="dxa"/>
              <w:bottom w:w="0" w:type="dxa"/>
            </w:tcMar>
            <w:vAlign w:val="center"/>
          </w:tcPr>
          <w:p w:rsidR="005A6F60" w:rsidRDefault="00B31863">
            <w:pPr>
              <w:keepNext/>
              <w:keepLines/>
              <w:spacing w:after="0" w:line="240" w:lineRule="auto"/>
              <w:jc w:val="right"/>
            </w:pPr>
            <w:r>
              <w:rPr>
                <w:b/>
                <w:sz w:val="18"/>
              </w:rPr>
              <w:t>0,00</w:t>
            </w:r>
          </w:p>
        </w:tc>
        <w:tc>
          <w:tcPr>
            <w:tcW w:w="1860" w:type="dxa"/>
            <w:tcMar>
              <w:top w:w="0" w:type="dxa"/>
              <w:bottom w:w="0" w:type="dxa"/>
            </w:tcMar>
            <w:vAlign w:val="center"/>
          </w:tcPr>
          <w:p w:rsidR="005A6F60" w:rsidRDefault="00B31863">
            <w:pPr>
              <w:keepNext/>
              <w:keepLines/>
              <w:spacing w:after="0" w:line="240" w:lineRule="auto"/>
              <w:jc w:val="right"/>
            </w:pPr>
            <w:r>
              <w:rPr>
                <w:b/>
                <w:sz w:val="18"/>
              </w:rPr>
              <w:t>0,00</w:t>
            </w:r>
          </w:p>
        </w:tc>
        <w:tc>
          <w:tcPr>
            <w:tcW w:w="700" w:type="dxa"/>
            <w:tcMar>
              <w:top w:w="0" w:type="dxa"/>
              <w:bottom w:w="0" w:type="dxa"/>
            </w:tcMar>
            <w:vAlign w:val="center"/>
          </w:tcPr>
          <w:p w:rsidR="005A6F60" w:rsidRDefault="00B31863">
            <w:pPr>
              <w:keepNext/>
              <w:keepLines/>
              <w:spacing w:after="0" w:line="240" w:lineRule="auto"/>
              <w:jc w:val="right"/>
            </w:pPr>
            <w:r>
              <w:rPr>
                <w:b/>
                <w:sz w:val="18"/>
              </w:rPr>
              <w:t>-</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5A6F60">
            <w:pPr>
              <w:keepNext/>
              <w:keepLines/>
              <w:spacing w:after="0" w:line="240" w:lineRule="auto"/>
            </w:pPr>
          </w:p>
        </w:tc>
        <w:tc>
          <w:tcPr>
            <w:tcW w:w="3180" w:type="dxa"/>
            <w:tcMar>
              <w:top w:w="0" w:type="dxa"/>
              <w:bottom w:w="0" w:type="dxa"/>
            </w:tcMar>
            <w:vAlign w:val="center"/>
          </w:tcPr>
          <w:p w:rsidR="005A6F60" w:rsidRDefault="00B31863">
            <w:pPr>
              <w:keepNext/>
              <w:keepLines/>
              <w:spacing w:after="0" w:line="240" w:lineRule="auto"/>
            </w:pPr>
            <w:r>
              <w:rPr>
                <w:b/>
                <w:sz w:val="18"/>
              </w:rPr>
              <w:t>MANJAK PRIHODA I PRIMITAKA (šifre Y345-X678)</w:t>
            </w:r>
          </w:p>
        </w:tc>
        <w:tc>
          <w:tcPr>
            <w:tcW w:w="700" w:type="dxa"/>
            <w:tcMar>
              <w:top w:w="0" w:type="dxa"/>
              <w:bottom w:w="0" w:type="dxa"/>
            </w:tcMar>
            <w:vAlign w:val="center"/>
          </w:tcPr>
          <w:p w:rsidR="005A6F60" w:rsidRDefault="00B31863">
            <w:pPr>
              <w:keepNext/>
              <w:keepLines/>
              <w:spacing w:after="0" w:line="240" w:lineRule="auto"/>
            </w:pPr>
            <w:r>
              <w:rPr>
                <w:b/>
                <w:sz w:val="18"/>
              </w:rPr>
              <w:t>Y005</w:t>
            </w:r>
          </w:p>
        </w:tc>
        <w:tc>
          <w:tcPr>
            <w:tcW w:w="1860" w:type="dxa"/>
            <w:tcMar>
              <w:top w:w="0" w:type="dxa"/>
              <w:bottom w:w="0" w:type="dxa"/>
            </w:tcMar>
            <w:vAlign w:val="center"/>
          </w:tcPr>
          <w:p w:rsidR="005A6F60" w:rsidRDefault="00B31863">
            <w:pPr>
              <w:keepNext/>
              <w:keepLines/>
              <w:spacing w:after="0" w:line="240" w:lineRule="auto"/>
              <w:jc w:val="right"/>
            </w:pPr>
            <w:r>
              <w:rPr>
                <w:b/>
                <w:sz w:val="18"/>
              </w:rPr>
              <w:t>0,00</w:t>
            </w:r>
          </w:p>
        </w:tc>
        <w:tc>
          <w:tcPr>
            <w:tcW w:w="1860" w:type="dxa"/>
            <w:tcMar>
              <w:top w:w="0" w:type="dxa"/>
              <w:bottom w:w="0" w:type="dxa"/>
            </w:tcMar>
            <w:vAlign w:val="center"/>
          </w:tcPr>
          <w:p w:rsidR="005A6F60" w:rsidRDefault="00B31863">
            <w:pPr>
              <w:keepNext/>
              <w:keepLines/>
              <w:spacing w:after="0" w:line="240" w:lineRule="auto"/>
              <w:jc w:val="right"/>
            </w:pPr>
            <w:r>
              <w:rPr>
                <w:b/>
                <w:sz w:val="18"/>
              </w:rPr>
              <w:t>399.613,08</w:t>
            </w:r>
          </w:p>
        </w:tc>
        <w:tc>
          <w:tcPr>
            <w:tcW w:w="700" w:type="dxa"/>
            <w:tcMar>
              <w:top w:w="0" w:type="dxa"/>
              <w:bottom w:w="0" w:type="dxa"/>
            </w:tcMar>
            <w:vAlign w:val="center"/>
          </w:tcPr>
          <w:p w:rsidR="005A6F60" w:rsidRDefault="00B31863">
            <w:pPr>
              <w:keepNext/>
              <w:keepLines/>
              <w:spacing w:after="0" w:line="240" w:lineRule="auto"/>
              <w:jc w:val="right"/>
            </w:pPr>
            <w:r>
              <w:rPr>
                <w:b/>
                <w:sz w:val="18"/>
              </w:rPr>
              <w:t>-</w:t>
            </w:r>
          </w:p>
        </w:tc>
      </w:tr>
    </w:tbl>
    <w:p w:rsidR="005A6F60" w:rsidRDefault="005A6F60">
      <w:pPr>
        <w:spacing w:after="0"/>
      </w:pPr>
    </w:p>
    <w:p w:rsidR="005A6F60" w:rsidRDefault="00B31863">
      <w:r>
        <w:t>Šifra Y002    Manjak prihoda od nefinancijske imovine iznosi 771.474,36 eura što je 79,2% više u odnosu na prošlu godinu. Manjak se odnosi na trošak kupovine prostora na adresi Gundulićeva 3 u svrhu korištenja za obavljanje osnovne djelatnosti održavanje n</w:t>
      </w:r>
      <w:r>
        <w:t>astave i znanstveno istraživačkog rada, te za nabavu nefinancijske imovine koja se financira prihodima iz poslovanja.</w:t>
      </w:r>
    </w:p>
    <w:p w:rsidR="005A6F60" w:rsidRDefault="00B31863">
      <w:r>
        <w:lastRenderedPageBreak/>
        <w:t>Šifra X001    Višak prihoda poslovanja iznosi 371.861,28 eura što je za 51,9% manje u odnosu na prošlu godinu. Do značajnog smanjenja došl</w:t>
      </w:r>
      <w:r>
        <w:t>o je radi promjene Pravilnika o proračunskom računovodstvu jer smo knjigovodstveno evidentirali 13. plaću i prijevoz iz Državnog proračuna iz izvora 11 što predstavlja metodološki manjak.</w:t>
      </w:r>
    </w:p>
    <w:p w:rsidR="005A6F60" w:rsidRDefault="00B31863">
      <w:r>
        <w:t>Šifra Y004    Ukupan manjak prihoda iznosi 399.613,08 eura. Nakon pr</w:t>
      </w:r>
      <w:r>
        <w:t>ovedene korekcije rezultata za nabavu nefinancijske imovine manjak prihoda se odnosi na nabavu nefinancijske imovine koja se financira prihodima iz poslovanja, te nabavu opreme iz projekta HRZZ-a, te na trošak 13. plaće i prijevoza iz Državnog proračuna za</w:t>
      </w:r>
      <w:r>
        <w:t xml:space="preserve"> plaću 12/2025. – metodološki manjak iz izvora 11.</w:t>
      </w:r>
    </w:p>
    <w:p w:rsidR="005A6F60" w:rsidRDefault="00B31863">
      <w:r>
        <w:t>Šifra X006    Višak prihoda i primitaka raspoloživ u sljedećem razdoblju iznosi 2.019.366,62 eura što je za 16,5% manje u odnosu na prošlu godinu, zbog iskazanog metodološkog manjka.</w:t>
      </w:r>
    </w:p>
    <w:p w:rsidR="005A6F60" w:rsidRDefault="00B31863">
      <w:r>
        <w:br/>
      </w:r>
    </w:p>
    <w:p w:rsidR="005A6F60" w:rsidRDefault="00B31863">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w:t>
            </w:r>
            <w:r>
              <w:rPr>
                <w:b/>
                <w:sz w:val="18"/>
              </w:rPr>
              <w:t xml:space="preserve">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6</w:t>
            </w:r>
          </w:p>
        </w:tc>
        <w:tc>
          <w:tcPr>
            <w:tcW w:w="3180" w:type="dxa"/>
            <w:tcMar>
              <w:top w:w="0" w:type="dxa"/>
              <w:bottom w:w="0" w:type="dxa"/>
            </w:tcMar>
            <w:vAlign w:val="center"/>
          </w:tcPr>
          <w:p w:rsidR="005A6F60" w:rsidRDefault="00B31863">
            <w:pPr>
              <w:keepNext/>
              <w:keepLines/>
              <w:spacing w:after="0" w:line="240" w:lineRule="auto"/>
            </w:pPr>
            <w:r>
              <w:rPr>
                <w:sz w:val="18"/>
              </w:rPr>
              <w:t>PRIHODI POSLOVANJA (šifre 61+62+63+64+65+66+67+68)</w:t>
            </w:r>
          </w:p>
        </w:tc>
        <w:tc>
          <w:tcPr>
            <w:tcW w:w="700" w:type="dxa"/>
            <w:tcMar>
              <w:top w:w="0" w:type="dxa"/>
              <w:bottom w:w="0" w:type="dxa"/>
            </w:tcMar>
            <w:vAlign w:val="center"/>
          </w:tcPr>
          <w:p w:rsidR="005A6F60" w:rsidRDefault="00B31863">
            <w:pPr>
              <w:keepNext/>
              <w:keepLines/>
              <w:spacing w:after="0" w:line="240" w:lineRule="auto"/>
            </w:pPr>
            <w:r>
              <w:rPr>
                <w:sz w:val="18"/>
              </w:rPr>
              <w:t>6</w:t>
            </w:r>
          </w:p>
        </w:tc>
        <w:tc>
          <w:tcPr>
            <w:tcW w:w="1860" w:type="dxa"/>
            <w:tcMar>
              <w:top w:w="0" w:type="dxa"/>
              <w:bottom w:w="0" w:type="dxa"/>
            </w:tcMar>
            <w:vAlign w:val="center"/>
          </w:tcPr>
          <w:p w:rsidR="005A6F60" w:rsidRDefault="00B31863">
            <w:pPr>
              <w:keepNext/>
              <w:keepLines/>
              <w:spacing w:after="0" w:line="240" w:lineRule="auto"/>
              <w:jc w:val="right"/>
            </w:pPr>
            <w:r>
              <w:rPr>
                <w:sz w:val="18"/>
              </w:rPr>
              <w:t>10.211.984,37</w:t>
            </w:r>
          </w:p>
        </w:tc>
        <w:tc>
          <w:tcPr>
            <w:tcW w:w="1860" w:type="dxa"/>
            <w:tcMar>
              <w:top w:w="0" w:type="dxa"/>
              <w:bottom w:w="0" w:type="dxa"/>
            </w:tcMar>
            <w:vAlign w:val="center"/>
          </w:tcPr>
          <w:p w:rsidR="005A6F60" w:rsidRDefault="00B31863">
            <w:pPr>
              <w:keepNext/>
              <w:keepLines/>
              <w:spacing w:after="0" w:line="240" w:lineRule="auto"/>
              <w:jc w:val="right"/>
            </w:pPr>
            <w:r>
              <w:rPr>
                <w:sz w:val="18"/>
              </w:rPr>
              <w:t>11.447.812,16</w:t>
            </w:r>
          </w:p>
        </w:tc>
        <w:tc>
          <w:tcPr>
            <w:tcW w:w="700" w:type="dxa"/>
            <w:tcMar>
              <w:top w:w="0" w:type="dxa"/>
              <w:bottom w:w="0" w:type="dxa"/>
            </w:tcMar>
            <w:vAlign w:val="center"/>
          </w:tcPr>
          <w:p w:rsidR="005A6F60" w:rsidRDefault="00B31863">
            <w:pPr>
              <w:keepNext/>
              <w:keepLines/>
              <w:spacing w:after="0" w:line="240" w:lineRule="auto"/>
              <w:jc w:val="right"/>
            </w:pPr>
            <w:r>
              <w:rPr>
                <w:sz w:val="18"/>
              </w:rPr>
              <w:t>112,1</w:t>
            </w:r>
          </w:p>
        </w:tc>
      </w:tr>
    </w:tbl>
    <w:p w:rsidR="005A6F60" w:rsidRDefault="005A6F60">
      <w:pPr>
        <w:spacing w:after="0"/>
      </w:pPr>
    </w:p>
    <w:p w:rsidR="005A6F60" w:rsidRDefault="00B31863">
      <w:r>
        <w:t>Ukupno ostvareni prihodi poslovanja u 2025. godini veći su za 12,1% u odnosu na prethodnu 2024. godinu.</w:t>
      </w:r>
    </w:p>
    <w:p w:rsidR="005A6F60" w:rsidRDefault="005A6F60"/>
    <w:p w:rsidR="005A6F60" w:rsidRDefault="00B31863">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6311</w:t>
            </w:r>
          </w:p>
        </w:tc>
        <w:tc>
          <w:tcPr>
            <w:tcW w:w="3180" w:type="dxa"/>
            <w:tcMar>
              <w:top w:w="0" w:type="dxa"/>
              <w:bottom w:w="0" w:type="dxa"/>
            </w:tcMar>
            <w:vAlign w:val="center"/>
          </w:tcPr>
          <w:p w:rsidR="005A6F60" w:rsidRDefault="00B31863">
            <w:pPr>
              <w:keepNext/>
              <w:keepLines/>
              <w:spacing w:after="0" w:line="240" w:lineRule="auto"/>
            </w:pPr>
            <w:r>
              <w:rPr>
                <w:sz w:val="18"/>
              </w:rPr>
              <w:t>Tekuće pomoći od inozemnih vlada</w:t>
            </w:r>
          </w:p>
        </w:tc>
        <w:tc>
          <w:tcPr>
            <w:tcW w:w="700" w:type="dxa"/>
            <w:tcMar>
              <w:top w:w="0" w:type="dxa"/>
              <w:bottom w:w="0" w:type="dxa"/>
            </w:tcMar>
            <w:vAlign w:val="center"/>
          </w:tcPr>
          <w:p w:rsidR="005A6F60" w:rsidRDefault="00B31863">
            <w:pPr>
              <w:keepNext/>
              <w:keepLines/>
              <w:spacing w:after="0" w:line="240" w:lineRule="auto"/>
            </w:pPr>
            <w:r>
              <w:rPr>
                <w:sz w:val="18"/>
              </w:rPr>
              <w:t>6311</w:t>
            </w:r>
          </w:p>
        </w:tc>
        <w:tc>
          <w:tcPr>
            <w:tcW w:w="1860" w:type="dxa"/>
            <w:tcMar>
              <w:top w:w="0" w:type="dxa"/>
              <w:bottom w:w="0" w:type="dxa"/>
            </w:tcMar>
            <w:vAlign w:val="center"/>
          </w:tcPr>
          <w:p w:rsidR="005A6F60" w:rsidRDefault="00B31863">
            <w:pPr>
              <w:keepNext/>
              <w:keepLines/>
              <w:spacing w:after="0" w:line="240" w:lineRule="auto"/>
              <w:jc w:val="right"/>
            </w:pPr>
            <w:r>
              <w:rPr>
                <w:sz w:val="18"/>
              </w:rPr>
              <w:t>5.876,67</w:t>
            </w:r>
          </w:p>
        </w:tc>
        <w:tc>
          <w:tcPr>
            <w:tcW w:w="1860" w:type="dxa"/>
            <w:tcMar>
              <w:top w:w="0" w:type="dxa"/>
              <w:bottom w:w="0" w:type="dxa"/>
            </w:tcMar>
            <w:vAlign w:val="center"/>
          </w:tcPr>
          <w:p w:rsidR="005A6F60" w:rsidRDefault="00B31863">
            <w:pPr>
              <w:keepNext/>
              <w:keepLines/>
              <w:spacing w:after="0" w:line="240" w:lineRule="auto"/>
              <w:jc w:val="right"/>
            </w:pPr>
            <w:r>
              <w:rPr>
                <w:sz w:val="18"/>
              </w:rPr>
              <w:t>5.736,40</w:t>
            </w:r>
          </w:p>
        </w:tc>
        <w:tc>
          <w:tcPr>
            <w:tcW w:w="700" w:type="dxa"/>
            <w:tcMar>
              <w:top w:w="0" w:type="dxa"/>
              <w:bottom w:w="0" w:type="dxa"/>
            </w:tcMar>
            <w:vAlign w:val="center"/>
          </w:tcPr>
          <w:p w:rsidR="005A6F60" w:rsidRDefault="00B31863">
            <w:pPr>
              <w:keepNext/>
              <w:keepLines/>
              <w:spacing w:after="0" w:line="240" w:lineRule="auto"/>
              <w:jc w:val="right"/>
            </w:pPr>
            <w:r>
              <w:rPr>
                <w:sz w:val="18"/>
              </w:rPr>
              <w:t>97,6</w:t>
            </w:r>
          </w:p>
        </w:tc>
      </w:tr>
    </w:tbl>
    <w:p w:rsidR="005A6F60" w:rsidRDefault="005A6F60">
      <w:pPr>
        <w:spacing w:after="0"/>
      </w:pPr>
    </w:p>
    <w:p w:rsidR="005A6F60" w:rsidRDefault="00B31863">
      <w:r>
        <w:t>Tekuće pomoći od inozemnih vlada – prihodi su neznatno manji za 2,4%, a odnose se na refundaciju za putne troškove održavanja nastave u Mostaru.</w:t>
      </w:r>
    </w:p>
    <w:p w:rsidR="005A6F60" w:rsidRDefault="005A6F60"/>
    <w:p w:rsidR="005A6F60" w:rsidRDefault="00B31863">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 xml:space="preserve">Račun iz rač. </w:t>
            </w:r>
            <w:r>
              <w:rPr>
                <w:b/>
                <w:sz w:val="18"/>
              </w:rPr>
              <w:t>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632</w:t>
            </w:r>
          </w:p>
        </w:tc>
        <w:tc>
          <w:tcPr>
            <w:tcW w:w="3180" w:type="dxa"/>
            <w:tcMar>
              <w:top w:w="0" w:type="dxa"/>
              <w:bottom w:w="0" w:type="dxa"/>
            </w:tcMar>
            <w:vAlign w:val="center"/>
          </w:tcPr>
          <w:p w:rsidR="005A6F60" w:rsidRDefault="00B31863">
            <w:pPr>
              <w:keepNext/>
              <w:keepLines/>
              <w:spacing w:after="0" w:line="240" w:lineRule="auto"/>
            </w:pPr>
            <w:r>
              <w:rPr>
                <w:sz w:val="18"/>
              </w:rPr>
              <w:t>Pomoći od međunarodnih organizacija te institucija i tijela EU (šifre 6321 do 6324)</w:t>
            </w:r>
          </w:p>
        </w:tc>
        <w:tc>
          <w:tcPr>
            <w:tcW w:w="700" w:type="dxa"/>
            <w:tcMar>
              <w:top w:w="0" w:type="dxa"/>
              <w:bottom w:w="0" w:type="dxa"/>
            </w:tcMar>
            <w:vAlign w:val="center"/>
          </w:tcPr>
          <w:p w:rsidR="005A6F60" w:rsidRDefault="00B31863">
            <w:pPr>
              <w:keepNext/>
              <w:keepLines/>
              <w:spacing w:after="0" w:line="240" w:lineRule="auto"/>
            </w:pPr>
            <w:r>
              <w:rPr>
                <w:sz w:val="18"/>
              </w:rPr>
              <w:t>632</w:t>
            </w:r>
          </w:p>
        </w:tc>
        <w:tc>
          <w:tcPr>
            <w:tcW w:w="1860" w:type="dxa"/>
            <w:tcMar>
              <w:top w:w="0" w:type="dxa"/>
              <w:bottom w:w="0" w:type="dxa"/>
            </w:tcMar>
            <w:vAlign w:val="center"/>
          </w:tcPr>
          <w:p w:rsidR="005A6F60" w:rsidRDefault="00B31863">
            <w:pPr>
              <w:keepNext/>
              <w:keepLines/>
              <w:spacing w:after="0" w:line="240" w:lineRule="auto"/>
              <w:jc w:val="right"/>
            </w:pPr>
            <w:r>
              <w:rPr>
                <w:sz w:val="18"/>
              </w:rPr>
              <w:t>0,00</w:t>
            </w:r>
          </w:p>
        </w:tc>
        <w:tc>
          <w:tcPr>
            <w:tcW w:w="1860" w:type="dxa"/>
            <w:tcMar>
              <w:top w:w="0" w:type="dxa"/>
              <w:bottom w:w="0" w:type="dxa"/>
            </w:tcMar>
            <w:vAlign w:val="center"/>
          </w:tcPr>
          <w:p w:rsidR="005A6F60" w:rsidRDefault="00B31863">
            <w:pPr>
              <w:keepNext/>
              <w:keepLines/>
              <w:spacing w:after="0" w:line="240" w:lineRule="auto"/>
              <w:jc w:val="right"/>
            </w:pPr>
            <w:r>
              <w:rPr>
                <w:sz w:val="18"/>
              </w:rPr>
              <w:t>6.000,00</w:t>
            </w:r>
          </w:p>
        </w:tc>
        <w:tc>
          <w:tcPr>
            <w:tcW w:w="700" w:type="dxa"/>
            <w:tcMar>
              <w:top w:w="0" w:type="dxa"/>
              <w:bottom w:w="0" w:type="dxa"/>
            </w:tcMar>
            <w:vAlign w:val="center"/>
          </w:tcPr>
          <w:p w:rsidR="005A6F60" w:rsidRDefault="00B31863">
            <w:pPr>
              <w:keepNext/>
              <w:keepLines/>
              <w:spacing w:after="0" w:line="240" w:lineRule="auto"/>
              <w:jc w:val="right"/>
            </w:pPr>
            <w:r>
              <w:rPr>
                <w:sz w:val="18"/>
              </w:rPr>
              <w:t>-</w:t>
            </w:r>
          </w:p>
        </w:tc>
      </w:tr>
    </w:tbl>
    <w:p w:rsidR="005A6F60" w:rsidRDefault="005A6F60">
      <w:pPr>
        <w:spacing w:after="0"/>
      </w:pPr>
    </w:p>
    <w:p w:rsidR="005A6F60" w:rsidRDefault="00B31863">
      <w:r>
        <w:t>Tekuće pomoći od institucija i tijela EU – odstupanje u odnosu na prošlu godinu jer smo u ovoj godini dobili doznaku sredstava za organizaciju skupa. Organiziran je 3. Oral Potentially Malignant Disorders Day Congress u organizaciji COST akcije INTERCEPTOR</w:t>
      </w:r>
      <w:r>
        <w:t xml:space="preserve"> na Stomatološkom fakultetu Sveučilišta u Zagrebu.</w:t>
      </w:r>
    </w:p>
    <w:p w:rsidR="005A6F60" w:rsidRDefault="005A6F60"/>
    <w:p w:rsidR="005A6F60" w:rsidRDefault="00B31863">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6361</w:t>
            </w:r>
          </w:p>
        </w:tc>
        <w:tc>
          <w:tcPr>
            <w:tcW w:w="3180" w:type="dxa"/>
            <w:tcMar>
              <w:top w:w="0" w:type="dxa"/>
              <w:bottom w:w="0" w:type="dxa"/>
            </w:tcMar>
            <w:vAlign w:val="center"/>
          </w:tcPr>
          <w:p w:rsidR="005A6F60" w:rsidRDefault="00B31863">
            <w:pPr>
              <w:keepNext/>
              <w:keepLines/>
              <w:spacing w:after="0" w:line="240" w:lineRule="auto"/>
            </w:pPr>
            <w:r>
              <w:rPr>
                <w:sz w:val="18"/>
              </w:rPr>
              <w:t xml:space="preserve">Tekuće pomoći proračunskim </w:t>
            </w:r>
            <w:r>
              <w:rPr>
                <w:sz w:val="18"/>
              </w:rPr>
              <w:t>korisnicima iz proračuna koji im nije nadležan</w:t>
            </w:r>
          </w:p>
        </w:tc>
        <w:tc>
          <w:tcPr>
            <w:tcW w:w="700" w:type="dxa"/>
            <w:tcMar>
              <w:top w:w="0" w:type="dxa"/>
              <w:bottom w:w="0" w:type="dxa"/>
            </w:tcMar>
            <w:vAlign w:val="center"/>
          </w:tcPr>
          <w:p w:rsidR="005A6F60" w:rsidRDefault="00B31863">
            <w:pPr>
              <w:keepNext/>
              <w:keepLines/>
              <w:spacing w:after="0" w:line="240" w:lineRule="auto"/>
            </w:pPr>
            <w:r>
              <w:rPr>
                <w:sz w:val="18"/>
              </w:rPr>
              <w:t>6361</w:t>
            </w:r>
          </w:p>
        </w:tc>
        <w:tc>
          <w:tcPr>
            <w:tcW w:w="1860" w:type="dxa"/>
            <w:tcMar>
              <w:top w:w="0" w:type="dxa"/>
              <w:bottom w:w="0" w:type="dxa"/>
            </w:tcMar>
            <w:vAlign w:val="center"/>
          </w:tcPr>
          <w:p w:rsidR="005A6F60" w:rsidRDefault="00B31863">
            <w:pPr>
              <w:keepNext/>
              <w:keepLines/>
              <w:spacing w:after="0" w:line="240" w:lineRule="auto"/>
              <w:jc w:val="right"/>
            </w:pPr>
            <w:r>
              <w:rPr>
                <w:sz w:val="18"/>
              </w:rPr>
              <w:t>0,00</w:t>
            </w:r>
          </w:p>
        </w:tc>
        <w:tc>
          <w:tcPr>
            <w:tcW w:w="1860" w:type="dxa"/>
            <w:tcMar>
              <w:top w:w="0" w:type="dxa"/>
              <w:bottom w:w="0" w:type="dxa"/>
            </w:tcMar>
            <w:vAlign w:val="center"/>
          </w:tcPr>
          <w:p w:rsidR="005A6F60" w:rsidRDefault="00B31863">
            <w:pPr>
              <w:keepNext/>
              <w:keepLines/>
              <w:spacing w:after="0" w:line="240" w:lineRule="auto"/>
              <w:jc w:val="right"/>
            </w:pPr>
            <w:r>
              <w:rPr>
                <w:sz w:val="18"/>
              </w:rPr>
              <w:t>4.350,00</w:t>
            </w:r>
          </w:p>
        </w:tc>
        <w:tc>
          <w:tcPr>
            <w:tcW w:w="700" w:type="dxa"/>
            <w:tcMar>
              <w:top w:w="0" w:type="dxa"/>
              <w:bottom w:w="0" w:type="dxa"/>
            </w:tcMar>
            <w:vAlign w:val="center"/>
          </w:tcPr>
          <w:p w:rsidR="005A6F60" w:rsidRDefault="00B31863">
            <w:pPr>
              <w:keepNext/>
              <w:keepLines/>
              <w:spacing w:after="0" w:line="240" w:lineRule="auto"/>
              <w:jc w:val="right"/>
            </w:pPr>
            <w:r>
              <w:rPr>
                <w:sz w:val="18"/>
              </w:rPr>
              <w:t>-</w:t>
            </w:r>
          </w:p>
        </w:tc>
      </w:tr>
    </w:tbl>
    <w:p w:rsidR="005A6F60" w:rsidRDefault="005A6F60">
      <w:pPr>
        <w:spacing w:after="0"/>
      </w:pPr>
    </w:p>
    <w:p w:rsidR="005A6F60" w:rsidRDefault="00B31863">
      <w:r>
        <w:t>Tekuće pomoći proračunskim korisnicima iz proračuna koji im nije nadležan – odstupanje u odnosu na prošlu godinu jer smo u ovoj godini dobili doznake sredstava kao financijska podrška za organizaciju studentskog kongresa.</w:t>
      </w:r>
    </w:p>
    <w:p w:rsidR="005A6F60" w:rsidRDefault="005A6F60"/>
    <w:p w:rsidR="005A6F60" w:rsidRDefault="00B31863">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6391</w:t>
            </w:r>
          </w:p>
        </w:tc>
        <w:tc>
          <w:tcPr>
            <w:tcW w:w="3180" w:type="dxa"/>
            <w:tcMar>
              <w:top w:w="0" w:type="dxa"/>
              <w:bottom w:w="0" w:type="dxa"/>
            </w:tcMar>
            <w:vAlign w:val="center"/>
          </w:tcPr>
          <w:p w:rsidR="005A6F60" w:rsidRDefault="00B31863">
            <w:pPr>
              <w:keepNext/>
              <w:keepLines/>
              <w:spacing w:after="0" w:line="240" w:lineRule="auto"/>
            </w:pPr>
            <w:r>
              <w:rPr>
                <w:sz w:val="18"/>
              </w:rPr>
              <w:t>Tekući prijenosi između proračunskih korisnika istog proračuna</w:t>
            </w:r>
          </w:p>
        </w:tc>
        <w:tc>
          <w:tcPr>
            <w:tcW w:w="700" w:type="dxa"/>
            <w:tcMar>
              <w:top w:w="0" w:type="dxa"/>
              <w:bottom w:w="0" w:type="dxa"/>
            </w:tcMar>
            <w:vAlign w:val="center"/>
          </w:tcPr>
          <w:p w:rsidR="005A6F60" w:rsidRDefault="00B31863">
            <w:pPr>
              <w:keepNext/>
              <w:keepLines/>
              <w:spacing w:after="0" w:line="240" w:lineRule="auto"/>
            </w:pPr>
            <w:r>
              <w:rPr>
                <w:sz w:val="18"/>
              </w:rPr>
              <w:t>6391</w:t>
            </w:r>
          </w:p>
        </w:tc>
        <w:tc>
          <w:tcPr>
            <w:tcW w:w="1860" w:type="dxa"/>
            <w:tcMar>
              <w:top w:w="0" w:type="dxa"/>
              <w:bottom w:w="0" w:type="dxa"/>
            </w:tcMar>
            <w:vAlign w:val="center"/>
          </w:tcPr>
          <w:p w:rsidR="005A6F60" w:rsidRDefault="00B31863">
            <w:pPr>
              <w:keepNext/>
              <w:keepLines/>
              <w:spacing w:after="0" w:line="240" w:lineRule="auto"/>
              <w:jc w:val="right"/>
            </w:pPr>
            <w:r>
              <w:rPr>
                <w:sz w:val="18"/>
              </w:rPr>
              <w:t>226.605,20</w:t>
            </w:r>
          </w:p>
        </w:tc>
        <w:tc>
          <w:tcPr>
            <w:tcW w:w="1860" w:type="dxa"/>
            <w:tcMar>
              <w:top w:w="0" w:type="dxa"/>
              <w:bottom w:w="0" w:type="dxa"/>
            </w:tcMar>
            <w:vAlign w:val="center"/>
          </w:tcPr>
          <w:p w:rsidR="005A6F60" w:rsidRDefault="00B31863">
            <w:pPr>
              <w:keepNext/>
              <w:keepLines/>
              <w:spacing w:after="0" w:line="240" w:lineRule="auto"/>
              <w:jc w:val="right"/>
            </w:pPr>
            <w:r>
              <w:rPr>
                <w:sz w:val="18"/>
              </w:rPr>
              <w:t>211.978,62</w:t>
            </w:r>
          </w:p>
        </w:tc>
        <w:tc>
          <w:tcPr>
            <w:tcW w:w="700" w:type="dxa"/>
            <w:tcMar>
              <w:top w:w="0" w:type="dxa"/>
              <w:bottom w:w="0" w:type="dxa"/>
            </w:tcMar>
            <w:vAlign w:val="center"/>
          </w:tcPr>
          <w:p w:rsidR="005A6F60" w:rsidRDefault="00B31863">
            <w:pPr>
              <w:keepNext/>
              <w:keepLines/>
              <w:spacing w:after="0" w:line="240" w:lineRule="auto"/>
              <w:jc w:val="right"/>
            </w:pPr>
            <w:r>
              <w:rPr>
                <w:sz w:val="18"/>
              </w:rPr>
              <w:t>93,5</w:t>
            </w:r>
          </w:p>
        </w:tc>
      </w:tr>
    </w:tbl>
    <w:p w:rsidR="005A6F60" w:rsidRDefault="005A6F60">
      <w:pPr>
        <w:spacing w:after="0"/>
      </w:pPr>
    </w:p>
    <w:p w:rsidR="005A6F60" w:rsidRDefault="00B31863">
      <w:r>
        <w:t>Tekući prijenosi između proračunskih korisnika istog proračuna – prihodi su neznatno manji za 6,5% jer su nam u ovoj godini doznačena sredstva koja se odnose na isplatu plaće za jednog doktoranda, dok smo prošle godine imali tri osobe zaposlene na HRZZ pro</w:t>
      </w:r>
      <w:r>
        <w:t>jektima i razlika se odnosi za konačne doznake sredstava po završenim HRZZ projektima.</w:t>
      </w:r>
    </w:p>
    <w:p w:rsidR="005A6F60" w:rsidRDefault="005A6F60"/>
    <w:p w:rsidR="005A6F60" w:rsidRDefault="00B31863">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6415</w:t>
            </w:r>
          </w:p>
        </w:tc>
        <w:tc>
          <w:tcPr>
            <w:tcW w:w="3180" w:type="dxa"/>
            <w:tcMar>
              <w:top w:w="0" w:type="dxa"/>
              <w:bottom w:w="0" w:type="dxa"/>
            </w:tcMar>
            <w:vAlign w:val="center"/>
          </w:tcPr>
          <w:p w:rsidR="005A6F60" w:rsidRDefault="00B31863">
            <w:pPr>
              <w:keepNext/>
              <w:keepLines/>
              <w:spacing w:after="0" w:line="240" w:lineRule="auto"/>
            </w:pPr>
            <w:r>
              <w:rPr>
                <w:sz w:val="18"/>
              </w:rPr>
              <w:t>Prihodi od pozitivnih tečajnih razlika i razlika zbog primjene valutne klauzule</w:t>
            </w:r>
          </w:p>
        </w:tc>
        <w:tc>
          <w:tcPr>
            <w:tcW w:w="700" w:type="dxa"/>
            <w:tcMar>
              <w:top w:w="0" w:type="dxa"/>
              <w:bottom w:w="0" w:type="dxa"/>
            </w:tcMar>
            <w:vAlign w:val="center"/>
          </w:tcPr>
          <w:p w:rsidR="005A6F60" w:rsidRDefault="00B31863">
            <w:pPr>
              <w:keepNext/>
              <w:keepLines/>
              <w:spacing w:after="0" w:line="240" w:lineRule="auto"/>
            </w:pPr>
            <w:r>
              <w:rPr>
                <w:sz w:val="18"/>
              </w:rPr>
              <w:t>6415</w:t>
            </w:r>
          </w:p>
        </w:tc>
        <w:tc>
          <w:tcPr>
            <w:tcW w:w="1860" w:type="dxa"/>
            <w:tcMar>
              <w:top w:w="0" w:type="dxa"/>
              <w:bottom w:w="0" w:type="dxa"/>
            </w:tcMar>
            <w:vAlign w:val="center"/>
          </w:tcPr>
          <w:p w:rsidR="005A6F60" w:rsidRDefault="00B31863">
            <w:pPr>
              <w:keepNext/>
              <w:keepLines/>
              <w:spacing w:after="0" w:line="240" w:lineRule="auto"/>
              <w:jc w:val="right"/>
            </w:pPr>
            <w:r>
              <w:rPr>
                <w:sz w:val="18"/>
              </w:rPr>
              <w:t>27,56</w:t>
            </w:r>
          </w:p>
        </w:tc>
        <w:tc>
          <w:tcPr>
            <w:tcW w:w="1860" w:type="dxa"/>
            <w:tcMar>
              <w:top w:w="0" w:type="dxa"/>
              <w:bottom w:w="0" w:type="dxa"/>
            </w:tcMar>
            <w:vAlign w:val="center"/>
          </w:tcPr>
          <w:p w:rsidR="005A6F60" w:rsidRDefault="00B31863">
            <w:pPr>
              <w:keepNext/>
              <w:keepLines/>
              <w:spacing w:after="0" w:line="240" w:lineRule="auto"/>
              <w:jc w:val="right"/>
            </w:pPr>
            <w:r>
              <w:rPr>
                <w:sz w:val="18"/>
              </w:rPr>
              <w:t>0,43</w:t>
            </w:r>
          </w:p>
        </w:tc>
        <w:tc>
          <w:tcPr>
            <w:tcW w:w="700" w:type="dxa"/>
            <w:tcMar>
              <w:top w:w="0" w:type="dxa"/>
              <w:bottom w:w="0" w:type="dxa"/>
            </w:tcMar>
            <w:vAlign w:val="center"/>
          </w:tcPr>
          <w:p w:rsidR="005A6F60" w:rsidRDefault="00B31863">
            <w:pPr>
              <w:keepNext/>
              <w:keepLines/>
              <w:spacing w:after="0" w:line="240" w:lineRule="auto"/>
              <w:jc w:val="right"/>
            </w:pPr>
            <w:r>
              <w:rPr>
                <w:sz w:val="18"/>
              </w:rPr>
              <w:t>1,6</w:t>
            </w:r>
          </w:p>
        </w:tc>
      </w:tr>
    </w:tbl>
    <w:p w:rsidR="005A6F60" w:rsidRDefault="005A6F60">
      <w:pPr>
        <w:spacing w:after="0"/>
      </w:pPr>
    </w:p>
    <w:p w:rsidR="005A6F60" w:rsidRDefault="00B31863">
      <w:r>
        <w:t>Prihodi od pozitivnih tečajnih razlika i razlika zbog primjene valutne klauzule – manji su za 98,4% u odnosu na prošlu godinu zbog uvođenja službene valute eura nema više toliko tečajnih razlika. </w:t>
      </w:r>
    </w:p>
    <w:p w:rsidR="005A6F60" w:rsidRDefault="005A6F60"/>
    <w:p w:rsidR="005A6F60" w:rsidRDefault="00B31863">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w:t>
            </w:r>
            <w:r>
              <w:rPr>
                <w:b/>
                <w:sz w:val="18"/>
              </w:rPr>
              <w:t>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6526</w:t>
            </w:r>
          </w:p>
        </w:tc>
        <w:tc>
          <w:tcPr>
            <w:tcW w:w="3180" w:type="dxa"/>
            <w:tcMar>
              <w:top w:w="0" w:type="dxa"/>
              <w:bottom w:w="0" w:type="dxa"/>
            </w:tcMar>
            <w:vAlign w:val="center"/>
          </w:tcPr>
          <w:p w:rsidR="005A6F60" w:rsidRDefault="00B31863">
            <w:pPr>
              <w:keepNext/>
              <w:keepLines/>
              <w:spacing w:after="0" w:line="240" w:lineRule="auto"/>
            </w:pPr>
            <w:r>
              <w:rPr>
                <w:sz w:val="18"/>
              </w:rPr>
              <w:t>Ostali nespomenuti prihodi</w:t>
            </w:r>
          </w:p>
        </w:tc>
        <w:tc>
          <w:tcPr>
            <w:tcW w:w="700" w:type="dxa"/>
            <w:tcMar>
              <w:top w:w="0" w:type="dxa"/>
              <w:bottom w:w="0" w:type="dxa"/>
            </w:tcMar>
            <w:vAlign w:val="center"/>
          </w:tcPr>
          <w:p w:rsidR="005A6F60" w:rsidRDefault="00B31863">
            <w:pPr>
              <w:keepNext/>
              <w:keepLines/>
              <w:spacing w:after="0" w:line="240" w:lineRule="auto"/>
            </w:pPr>
            <w:r>
              <w:rPr>
                <w:sz w:val="18"/>
              </w:rPr>
              <w:t>6526</w:t>
            </w:r>
          </w:p>
        </w:tc>
        <w:tc>
          <w:tcPr>
            <w:tcW w:w="1860" w:type="dxa"/>
            <w:tcMar>
              <w:top w:w="0" w:type="dxa"/>
              <w:bottom w:w="0" w:type="dxa"/>
            </w:tcMar>
            <w:vAlign w:val="center"/>
          </w:tcPr>
          <w:p w:rsidR="005A6F60" w:rsidRDefault="00B31863">
            <w:pPr>
              <w:keepNext/>
              <w:keepLines/>
              <w:spacing w:after="0" w:line="240" w:lineRule="auto"/>
              <w:jc w:val="right"/>
            </w:pPr>
            <w:r>
              <w:rPr>
                <w:sz w:val="18"/>
              </w:rPr>
              <w:t>1.657.954,67</w:t>
            </w:r>
          </w:p>
        </w:tc>
        <w:tc>
          <w:tcPr>
            <w:tcW w:w="1860" w:type="dxa"/>
            <w:tcMar>
              <w:top w:w="0" w:type="dxa"/>
              <w:bottom w:w="0" w:type="dxa"/>
            </w:tcMar>
            <w:vAlign w:val="center"/>
          </w:tcPr>
          <w:p w:rsidR="005A6F60" w:rsidRDefault="00B31863">
            <w:pPr>
              <w:keepNext/>
              <w:keepLines/>
              <w:spacing w:after="0" w:line="240" w:lineRule="auto"/>
              <w:jc w:val="right"/>
            </w:pPr>
            <w:r>
              <w:rPr>
                <w:sz w:val="18"/>
              </w:rPr>
              <w:t>1.796.704,20</w:t>
            </w:r>
          </w:p>
        </w:tc>
        <w:tc>
          <w:tcPr>
            <w:tcW w:w="700" w:type="dxa"/>
            <w:tcMar>
              <w:top w:w="0" w:type="dxa"/>
              <w:bottom w:w="0" w:type="dxa"/>
            </w:tcMar>
            <w:vAlign w:val="center"/>
          </w:tcPr>
          <w:p w:rsidR="005A6F60" w:rsidRDefault="00B31863">
            <w:pPr>
              <w:keepNext/>
              <w:keepLines/>
              <w:spacing w:after="0" w:line="240" w:lineRule="auto"/>
              <w:jc w:val="right"/>
            </w:pPr>
            <w:r>
              <w:rPr>
                <w:sz w:val="18"/>
              </w:rPr>
              <w:t>108,4</w:t>
            </w:r>
          </w:p>
        </w:tc>
      </w:tr>
    </w:tbl>
    <w:p w:rsidR="005A6F60" w:rsidRDefault="005A6F60">
      <w:pPr>
        <w:spacing w:after="0"/>
      </w:pPr>
    </w:p>
    <w:p w:rsidR="005A6F60" w:rsidRDefault="00B31863">
      <w:r>
        <w:t>Prihodi po posebnim propisima – veći su za 8,4%, povećanje se odnosi na prihode od školarine studenata i drugih naknada polaznika svih obrazovnih programa koji se sada klasificiraju u izvor 43 – ostali prihodi za posebne namjene, dok su ranijih godina bili</w:t>
      </w:r>
      <w:r>
        <w:t xml:space="preserve"> klasificirani u izvor 31 – Vlastiti prihodi (specijalistički studiji). Do promjene je došlo stupanjem na snagu Pravilnika o mjerilima i načinu korištenja nenamjenskih donacija i vlastitih prihoda proračunskih korisnika iz nadležnosti Ministarstva znanosti</w:t>
      </w:r>
      <w:r>
        <w:t>, obrazovanja i mladih (NN 79/24) i Pravilnika o mjerilima i načinu korištenja namjenskih prihoda proračunskih korisnika iz nadležnosti Ministarstva znanosti, obrazovanja i mladih (NN 79/24). </w:t>
      </w:r>
    </w:p>
    <w:p w:rsidR="005A6F60" w:rsidRDefault="005A6F60"/>
    <w:p w:rsidR="005A6F60" w:rsidRDefault="00B31863">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661</w:t>
            </w:r>
          </w:p>
        </w:tc>
        <w:tc>
          <w:tcPr>
            <w:tcW w:w="3180" w:type="dxa"/>
            <w:tcMar>
              <w:top w:w="0" w:type="dxa"/>
              <w:bottom w:w="0" w:type="dxa"/>
            </w:tcMar>
            <w:vAlign w:val="center"/>
          </w:tcPr>
          <w:p w:rsidR="005A6F60" w:rsidRDefault="00B31863">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rsidR="005A6F60" w:rsidRDefault="00B31863">
            <w:pPr>
              <w:keepNext/>
              <w:keepLines/>
              <w:spacing w:after="0" w:line="240" w:lineRule="auto"/>
            </w:pPr>
            <w:r>
              <w:rPr>
                <w:sz w:val="18"/>
              </w:rPr>
              <w:t>661</w:t>
            </w:r>
          </w:p>
        </w:tc>
        <w:tc>
          <w:tcPr>
            <w:tcW w:w="1860" w:type="dxa"/>
            <w:tcMar>
              <w:top w:w="0" w:type="dxa"/>
              <w:bottom w:w="0" w:type="dxa"/>
            </w:tcMar>
            <w:vAlign w:val="center"/>
          </w:tcPr>
          <w:p w:rsidR="005A6F60" w:rsidRDefault="00B31863">
            <w:pPr>
              <w:keepNext/>
              <w:keepLines/>
              <w:spacing w:after="0" w:line="240" w:lineRule="auto"/>
              <w:jc w:val="right"/>
            </w:pPr>
            <w:r>
              <w:rPr>
                <w:sz w:val="18"/>
              </w:rPr>
              <w:t>423.541,45</w:t>
            </w:r>
          </w:p>
        </w:tc>
        <w:tc>
          <w:tcPr>
            <w:tcW w:w="1860" w:type="dxa"/>
            <w:tcMar>
              <w:top w:w="0" w:type="dxa"/>
              <w:bottom w:w="0" w:type="dxa"/>
            </w:tcMar>
            <w:vAlign w:val="center"/>
          </w:tcPr>
          <w:p w:rsidR="005A6F60" w:rsidRDefault="00B31863">
            <w:pPr>
              <w:keepNext/>
              <w:keepLines/>
              <w:spacing w:after="0" w:line="240" w:lineRule="auto"/>
              <w:jc w:val="right"/>
            </w:pPr>
            <w:r>
              <w:rPr>
                <w:sz w:val="18"/>
              </w:rPr>
              <w:t>316.863,40</w:t>
            </w:r>
          </w:p>
        </w:tc>
        <w:tc>
          <w:tcPr>
            <w:tcW w:w="700" w:type="dxa"/>
            <w:tcMar>
              <w:top w:w="0" w:type="dxa"/>
              <w:bottom w:w="0" w:type="dxa"/>
            </w:tcMar>
            <w:vAlign w:val="center"/>
          </w:tcPr>
          <w:p w:rsidR="005A6F60" w:rsidRDefault="00B31863">
            <w:pPr>
              <w:keepNext/>
              <w:keepLines/>
              <w:spacing w:after="0" w:line="240" w:lineRule="auto"/>
              <w:jc w:val="right"/>
            </w:pPr>
            <w:r>
              <w:rPr>
                <w:sz w:val="18"/>
              </w:rPr>
              <w:t>74,8</w:t>
            </w:r>
          </w:p>
        </w:tc>
      </w:tr>
    </w:tbl>
    <w:p w:rsidR="005A6F60" w:rsidRDefault="005A6F60">
      <w:pPr>
        <w:spacing w:after="0"/>
      </w:pPr>
    </w:p>
    <w:p w:rsidR="005A6F60" w:rsidRDefault="00B31863">
      <w:r>
        <w:t>Prihodi od prodaje proizvoda i robe te pruženih usluga – manji su za 25,2%, smanjenje se odnosi na prihode od školarine studenata i drugih naknada polaznika svih obrazovnih programa koji se sada   klasificiraju u izvor 43 – ostali prihodi za posebne namjen</w:t>
      </w:r>
      <w:r>
        <w:t>e, dok su ranijih godina bili klasificirani u izvor 31 – Vlastiti prihodi (specijalistički studiji). Do promjene je došlo stupanjem na snagu Pravilnika o mjerilima i načinu korištenja nenamjenskih donacija i vlastitih prihoda proračunskih korisnika iz nadl</w:t>
      </w:r>
      <w:r>
        <w:t xml:space="preserve">ežnosti Ministarstva znanosti, obrazovanja i mladih (NN 79/24) i Pravilnika o mjerilima i načinu korištenja namjenskih prihoda proračunskih korisnika iz nadležnosti Ministarstva znanosti, obrazovanja i mladih (NN 79/24). Osim na školarine </w:t>
      </w:r>
      <w:r>
        <w:lastRenderedPageBreak/>
        <w:t>smanjenje prihoda</w:t>
      </w:r>
      <w:r>
        <w:t xml:space="preserve"> se odnosi i na prihod od prodaje kompleta za izvođenje pretkliničkih vježbi koje studenti više ne plaćaju.</w:t>
      </w:r>
    </w:p>
    <w:p w:rsidR="005A6F60" w:rsidRDefault="005A6F60"/>
    <w:p w:rsidR="005A6F60" w:rsidRDefault="00B31863">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w:t>
            </w:r>
            <w:r>
              <w:rPr>
                <w:b/>
                <w:sz w:val="18"/>
              </w:rPr>
              <w:t>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6631</w:t>
            </w:r>
          </w:p>
        </w:tc>
        <w:tc>
          <w:tcPr>
            <w:tcW w:w="3180" w:type="dxa"/>
            <w:tcMar>
              <w:top w:w="0" w:type="dxa"/>
              <w:bottom w:w="0" w:type="dxa"/>
            </w:tcMar>
            <w:vAlign w:val="center"/>
          </w:tcPr>
          <w:p w:rsidR="005A6F60" w:rsidRDefault="00B31863">
            <w:pPr>
              <w:keepNext/>
              <w:keepLines/>
              <w:spacing w:after="0" w:line="240" w:lineRule="auto"/>
            </w:pPr>
            <w:r>
              <w:rPr>
                <w:sz w:val="18"/>
              </w:rPr>
              <w:t>Tekuće donacije</w:t>
            </w:r>
          </w:p>
        </w:tc>
        <w:tc>
          <w:tcPr>
            <w:tcW w:w="700" w:type="dxa"/>
            <w:tcMar>
              <w:top w:w="0" w:type="dxa"/>
              <w:bottom w:w="0" w:type="dxa"/>
            </w:tcMar>
            <w:vAlign w:val="center"/>
          </w:tcPr>
          <w:p w:rsidR="005A6F60" w:rsidRDefault="00B31863">
            <w:pPr>
              <w:keepNext/>
              <w:keepLines/>
              <w:spacing w:after="0" w:line="240" w:lineRule="auto"/>
            </w:pPr>
            <w:r>
              <w:rPr>
                <w:sz w:val="18"/>
              </w:rPr>
              <w:t>6631</w:t>
            </w:r>
          </w:p>
        </w:tc>
        <w:tc>
          <w:tcPr>
            <w:tcW w:w="1860" w:type="dxa"/>
            <w:tcMar>
              <w:top w:w="0" w:type="dxa"/>
              <w:bottom w:w="0" w:type="dxa"/>
            </w:tcMar>
            <w:vAlign w:val="center"/>
          </w:tcPr>
          <w:p w:rsidR="005A6F60" w:rsidRDefault="00B31863">
            <w:pPr>
              <w:keepNext/>
              <w:keepLines/>
              <w:spacing w:after="0" w:line="240" w:lineRule="auto"/>
              <w:jc w:val="right"/>
            </w:pPr>
            <w:r>
              <w:rPr>
                <w:sz w:val="18"/>
              </w:rPr>
              <w:t>45.985,94</w:t>
            </w:r>
          </w:p>
        </w:tc>
        <w:tc>
          <w:tcPr>
            <w:tcW w:w="1860" w:type="dxa"/>
            <w:tcMar>
              <w:top w:w="0" w:type="dxa"/>
              <w:bottom w:w="0" w:type="dxa"/>
            </w:tcMar>
            <w:vAlign w:val="center"/>
          </w:tcPr>
          <w:p w:rsidR="005A6F60" w:rsidRDefault="00B31863">
            <w:pPr>
              <w:keepNext/>
              <w:keepLines/>
              <w:spacing w:after="0" w:line="240" w:lineRule="auto"/>
              <w:jc w:val="right"/>
            </w:pPr>
            <w:r>
              <w:rPr>
                <w:sz w:val="18"/>
              </w:rPr>
              <w:t>109.846,67</w:t>
            </w:r>
          </w:p>
        </w:tc>
        <w:tc>
          <w:tcPr>
            <w:tcW w:w="700" w:type="dxa"/>
            <w:tcMar>
              <w:top w:w="0" w:type="dxa"/>
              <w:bottom w:w="0" w:type="dxa"/>
            </w:tcMar>
            <w:vAlign w:val="center"/>
          </w:tcPr>
          <w:p w:rsidR="005A6F60" w:rsidRDefault="00B31863">
            <w:pPr>
              <w:keepNext/>
              <w:keepLines/>
              <w:spacing w:after="0" w:line="240" w:lineRule="auto"/>
              <w:jc w:val="right"/>
            </w:pPr>
            <w:r>
              <w:rPr>
                <w:sz w:val="18"/>
              </w:rPr>
              <w:t>238,9</w:t>
            </w:r>
          </w:p>
        </w:tc>
      </w:tr>
    </w:tbl>
    <w:p w:rsidR="005A6F60" w:rsidRDefault="005A6F60">
      <w:pPr>
        <w:spacing w:after="0"/>
      </w:pPr>
    </w:p>
    <w:p w:rsidR="005A6F60" w:rsidRDefault="00B31863">
      <w:r>
        <w:t xml:space="preserve">Tekuće donacije – povećanje prihoda za 138,9%, koje se djelomice odnosi na donacije za organizaciju i provedbu studentskih programa i projekata, donirano od trgovačkih društava i od Studentskog centra Zagreb. Znatno povećanje prihoda odnosi se na provedbu </w:t>
      </w:r>
      <w:r>
        <w:t>projekta u kojem smo partner s trgovačkim društvom, pod nazivom „Generativno konstruiranje za masovnu personalizaciju dentalne implantoprotetske nadogradnje“kod poziva NPOO.C3.2.R3-I1.04.0121, naziv poziva Ciljana znanstvena istraživanja, koji se financira</w:t>
      </w:r>
      <w:r>
        <w:t>ju iz Mehanizma za oporavak i otpornost.</w:t>
      </w:r>
    </w:p>
    <w:p w:rsidR="005A6F60" w:rsidRDefault="005A6F60"/>
    <w:p w:rsidR="005A6F60" w:rsidRDefault="00B31863">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6632</w:t>
            </w:r>
          </w:p>
        </w:tc>
        <w:tc>
          <w:tcPr>
            <w:tcW w:w="3180" w:type="dxa"/>
            <w:tcMar>
              <w:top w:w="0" w:type="dxa"/>
              <w:bottom w:w="0" w:type="dxa"/>
            </w:tcMar>
            <w:vAlign w:val="center"/>
          </w:tcPr>
          <w:p w:rsidR="005A6F60" w:rsidRDefault="00B31863">
            <w:pPr>
              <w:keepNext/>
              <w:keepLines/>
              <w:spacing w:after="0" w:line="240" w:lineRule="auto"/>
            </w:pPr>
            <w:r>
              <w:rPr>
                <w:sz w:val="18"/>
              </w:rPr>
              <w:t>Kapitalne donacije</w:t>
            </w:r>
          </w:p>
        </w:tc>
        <w:tc>
          <w:tcPr>
            <w:tcW w:w="700" w:type="dxa"/>
            <w:tcMar>
              <w:top w:w="0" w:type="dxa"/>
              <w:bottom w:w="0" w:type="dxa"/>
            </w:tcMar>
            <w:vAlign w:val="center"/>
          </w:tcPr>
          <w:p w:rsidR="005A6F60" w:rsidRDefault="00B31863">
            <w:pPr>
              <w:keepNext/>
              <w:keepLines/>
              <w:spacing w:after="0" w:line="240" w:lineRule="auto"/>
            </w:pPr>
            <w:r>
              <w:rPr>
                <w:sz w:val="18"/>
              </w:rPr>
              <w:t>6632</w:t>
            </w:r>
          </w:p>
        </w:tc>
        <w:tc>
          <w:tcPr>
            <w:tcW w:w="1860" w:type="dxa"/>
            <w:tcMar>
              <w:top w:w="0" w:type="dxa"/>
              <w:bottom w:w="0" w:type="dxa"/>
            </w:tcMar>
            <w:vAlign w:val="center"/>
          </w:tcPr>
          <w:p w:rsidR="005A6F60" w:rsidRDefault="00B31863">
            <w:pPr>
              <w:keepNext/>
              <w:keepLines/>
              <w:spacing w:after="0" w:line="240" w:lineRule="auto"/>
              <w:jc w:val="right"/>
            </w:pPr>
            <w:r>
              <w:rPr>
                <w:sz w:val="18"/>
              </w:rPr>
              <w:t>7.346,50</w:t>
            </w:r>
          </w:p>
        </w:tc>
        <w:tc>
          <w:tcPr>
            <w:tcW w:w="1860" w:type="dxa"/>
            <w:tcMar>
              <w:top w:w="0" w:type="dxa"/>
              <w:bottom w:w="0" w:type="dxa"/>
            </w:tcMar>
            <w:vAlign w:val="center"/>
          </w:tcPr>
          <w:p w:rsidR="005A6F60" w:rsidRDefault="00B31863">
            <w:pPr>
              <w:keepNext/>
              <w:keepLines/>
              <w:spacing w:after="0" w:line="240" w:lineRule="auto"/>
              <w:jc w:val="right"/>
            </w:pPr>
            <w:r>
              <w:rPr>
                <w:sz w:val="18"/>
              </w:rPr>
              <w:t>2.592,40</w:t>
            </w:r>
          </w:p>
        </w:tc>
        <w:tc>
          <w:tcPr>
            <w:tcW w:w="700" w:type="dxa"/>
            <w:tcMar>
              <w:top w:w="0" w:type="dxa"/>
              <w:bottom w:w="0" w:type="dxa"/>
            </w:tcMar>
            <w:vAlign w:val="center"/>
          </w:tcPr>
          <w:p w:rsidR="005A6F60" w:rsidRDefault="00B31863">
            <w:pPr>
              <w:keepNext/>
              <w:keepLines/>
              <w:spacing w:after="0" w:line="240" w:lineRule="auto"/>
              <w:jc w:val="right"/>
            </w:pPr>
            <w:r>
              <w:rPr>
                <w:sz w:val="18"/>
              </w:rPr>
              <w:t>35,3</w:t>
            </w:r>
          </w:p>
        </w:tc>
      </w:tr>
    </w:tbl>
    <w:p w:rsidR="005A6F60" w:rsidRDefault="005A6F60">
      <w:pPr>
        <w:spacing w:after="0"/>
      </w:pPr>
    </w:p>
    <w:p w:rsidR="005A6F60" w:rsidRDefault="00B31863">
      <w:r>
        <w:t>Kapitalne donacije – smanjenje prihoda u odnosu na prošlu godinu koje se odnosi na donirani uređaj AquaCare Twin Black Edition sa stalkom koji se koristi u dentalnoj medicini za minimalno invazivne zahvate.</w:t>
      </w:r>
    </w:p>
    <w:p w:rsidR="005A6F60" w:rsidRDefault="005A6F60"/>
    <w:p w:rsidR="005A6F60" w:rsidRDefault="00B31863">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6711</w:t>
            </w:r>
          </w:p>
        </w:tc>
        <w:tc>
          <w:tcPr>
            <w:tcW w:w="3180" w:type="dxa"/>
            <w:tcMar>
              <w:top w:w="0" w:type="dxa"/>
              <w:bottom w:w="0" w:type="dxa"/>
            </w:tcMar>
            <w:vAlign w:val="center"/>
          </w:tcPr>
          <w:p w:rsidR="005A6F60" w:rsidRDefault="00B31863">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5A6F60" w:rsidRDefault="00B31863">
            <w:pPr>
              <w:keepNext/>
              <w:keepLines/>
              <w:spacing w:after="0" w:line="240" w:lineRule="auto"/>
            </w:pPr>
            <w:r>
              <w:rPr>
                <w:sz w:val="18"/>
              </w:rPr>
              <w:t>6711</w:t>
            </w:r>
          </w:p>
        </w:tc>
        <w:tc>
          <w:tcPr>
            <w:tcW w:w="1860" w:type="dxa"/>
            <w:tcMar>
              <w:top w:w="0" w:type="dxa"/>
              <w:bottom w:w="0" w:type="dxa"/>
            </w:tcMar>
            <w:vAlign w:val="center"/>
          </w:tcPr>
          <w:p w:rsidR="005A6F60" w:rsidRDefault="00B31863">
            <w:pPr>
              <w:keepNext/>
              <w:keepLines/>
              <w:spacing w:after="0" w:line="240" w:lineRule="auto"/>
              <w:jc w:val="right"/>
            </w:pPr>
            <w:r>
              <w:rPr>
                <w:sz w:val="18"/>
              </w:rPr>
              <w:t>7.592.219,20</w:t>
            </w:r>
          </w:p>
        </w:tc>
        <w:tc>
          <w:tcPr>
            <w:tcW w:w="1860" w:type="dxa"/>
            <w:tcMar>
              <w:top w:w="0" w:type="dxa"/>
              <w:bottom w:w="0" w:type="dxa"/>
            </w:tcMar>
            <w:vAlign w:val="center"/>
          </w:tcPr>
          <w:p w:rsidR="005A6F60" w:rsidRDefault="00B31863">
            <w:pPr>
              <w:keepNext/>
              <w:keepLines/>
              <w:spacing w:after="0" w:line="240" w:lineRule="auto"/>
              <w:jc w:val="right"/>
            </w:pPr>
            <w:r>
              <w:rPr>
                <w:sz w:val="18"/>
              </w:rPr>
              <w:t>8.418.274,96</w:t>
            </w:r>
          </w:p>
        </w:tc>
        <w:tc>
          <w:tcPr>
            <w:tcW w:w="700" w:type="dxa"/>
            <w:tcMar>
              <w:top w:w="0" w:type="dxa"/>
              <w:bottom w:w="0" w:type="dxa"/>
            </w:tcMar>
            <w:vAlign w:val="center"/>
          </w:tcPr>
          <w:p w:rsidR="005A6F60" w:rsidRDefault="00B31863">
            <w:pPr>
              <w:keepNext/>
              <w:keepLines/>
              <w:spacing w:after="0" w:line="240" w:lineRule="auto"/>
              <w:jc w:val="right"/>
            </w:pPr>
            <w:r>
              <w:rPr>
                <w:sz w:val="18"/>
              </w:rPr>
              <w:t>110,9</w:t>
            </w:r>
          </w:p>
        </w:tc>
      </w:tr>
    </w:tbl>
    <w:p w:rsidR="005A6F60" w:rsidRDefault="005A6F60">
      <w:pPr>
        <w:spacing w:after="0"/>
      </w:pPr>
    </w:p>
    <w:p w:rsidR="005A6F60" w:rsidRDefault="00B31863">
      <w:r>
        <w:t>Prihodi iz nadležnog proračuna za financiranje rashoda poslovanja – veći su za 14,7% u odnosu na prošlu godinu. Odnose se na povećanje za plaće temeljem Uredbe o nazivima radnih mjesta, uvjetima za raspored i koeficijentima za obračun plaće u javnim služba</w:t>
      </w:r>
      <w:r>
        <w:t xml:space="preserve">ma. Uredbom su propisani nazivi radnih mjesta u javnim službama, klasifikacija radnih mjesta u pripadajući platni razred i </w:t>
      </w:r>
      <w:r>
        <w:lastRenderedPageBreak/>
        <w:t>koeficijent za obračun plaće. U odnosu na prošlu godinu za isto razdoblje uplaćeno je neznatno više sredstava za temeljno financiranj</w:t>
      </w:r>
      <w:r>
        <w:t>e znanstvene i umjetničke djelatnosti Sveučilišta u Zagrebu za ak.god. 2024./2025., te za subvenciju participacija školarina. Doznačen je dio sredstva iz proračuna u svrhu programskog financiranja za razvojnu djelatnost skupa sa iznosom za NPOO projekte iz</w:t>
      </w:r>
      <w:r>
        <w:t>vor 581. </w:t>
      </w:r>
    </w:p>
    <w:p w:rsidR="005A6F60" w:rsidRDefault="005A6F60"/>
    <w:p w:rsidR="005A6F60" w:rsidRDefault="00B31863">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6712</w:t>
            </w:r>
          </w:p>
        </w:tc>
        <w:tc>
          <w:tcPr>
            <w:tcW w:w="3180" w:type="dxa"/>
            <w:tcMar>
              <w:top w:w="0" w:type="dxa"/>
              <w:bottom w:w="0" w:type="dxa"/>
            </w:tcMar>
            <w:vAlign w:val="center"/>
          </w:tcPr>
          <w:p w:rsidR="005A6F60" w:rsidRDefault="00B31863">
            <w:pPr>
              <w:keepNext/>
              <w:keepLines/>
              <w:spacing w:after="0" w:line="240" w:lineRule="auto"/>
            </w:pPr>
            <w:r>
              <w:rPr>
                <w:sz w:val="18"/>
              </w:rPr>
              <w:t xml:space="preserve">Prihodi iz nadležnog proračuna za financiranje rashoda za nabavu </w:t>
            </w:r>
            <w:r>
              <w:rPr>
                <w:sz w:val="18"/>
              </w:rPr>
              <w:t>nefinancijske imovine</w:t>
            </w:r>
          </w:p>
        </w:tc>
        <w:tc>
          <w:tcPr>
            <w:tcW w:w="700" w:type="dxa"/>
            <w:tcMar>
              <w:top w:w="0" w:type="dxa"/>
              <w:bottom w:w="0" w:type="dxa"/>
            </w:tcMar>
            <w:vAlign w:val="center"/>
          </w:tcPr>
          <w:p w:rsidR="005A6F60" w:rsidRDefault="00B31863">
            <w:pPr>
              <w:keepNext/>
              <w:keepLines/>
              <w:spacing w:after="0" w:line="240" w:lineRule="auto"/>
            </w:pPr>
            <w:r>
              <w:rPr>
                <w:sz w:val="18"/>
              </w:rPr>
              <w:t>6712</w:t>
            </w:r>
          </w:p>
        </w:tc>
        <w:tc>
          <w:tcPr>
            <w:tcW w:w="1860" w:type="dxa"/>
            <w:tcMar>
              <w:top w:w="0" w:type="dxa"/>
              <w:bottom w:w="0" w:type="dxa"/>
            </w:tcMar>
            <w:vAlign w:val="center"/>
          </w:tcPr>
          <w:p w:rsidR="005A6F60" w:rsidRDefault="00B31863">
            <w:pPr>
              <w:keepNext/>
              <w:keepLines/>
              <w:spacing w:after="0" w:line="240" w:lineRule="auto"/>
              <w:jc w:val="right"/>
            </w:pPr>
            <w:r>
              <w:rPr>
                <w:sz w:val="18"/>
              </w:rPr>
              <w:t>247.187,50</w:t>
            </w:r>
          </w:p>
        </w:tc>
        <w:tc>
          <w:tcPr>
            <w:tcW w:w="1860" w:type="dxa"/>
            <w:tcMar>
              <w:top w:w="0" w:type="dxa"/>
              <w:bottom w:w="0" w:type="dxa"/>
            </w:tcMar>
            <w:vAlign w:val="center"/>
          </w:tcPr>
          <w:p w:rsidR="005A6F60" w:rsidRDefault="00B31863">
            <w:pPr>
              <w:keepNext/>
              <w:keepLines/>
              <w:spacing w:after="0" w:line="240" w:lineRule="auto"/>
              <w:jc w:val="right"/>
            </w:pPr>
            <w:r>
              <w:rPr>
                <w:sz w:val="18"/>
              </w:rPr>
              <w:t>570.046,97</w:t>
            </w:r>
          </w:p>
        </w:tc>
        <w:tc>
          <w:tcPr>
            <w:tcW w:w="700" w:type="dxa"/>
            <w:tcMar>
              <w:top w:w="0" w:type="dxa"/>
              <w:bottom w:w="0" w:type="dxa"/>
            </w:tcMar>
            <w:vAlign w:val="center"/>
          </w:tcPr>
          <w:p w:rsidR="005A6F60" w:rsidRDefault="00B31863">
            <w:pPr>
              <w:keepNext/>
              <w:keepLines/>
              <w:spacing w:after="0" w:line="240" w:lineRule="auto"/>
              <w:jc w:val="right"/>
            </w:pPr>
            <w:r>
              <w:rPr>
                <w:sz w:val="18"/>
              </w:rPr>
              <w:t>230,6</w:t>
            </w:r>
          </w:p>
        </w:tc>
      </w:tr>
    </w:tbl>
    <w:p w:rsidR="005A6F60" w:rsidRDefault="005A6F60">
      <w:pPr>
        <w:spacing w:after="0"/>
      </w:pPr>
    </w:p>
    <w:p w:rsidR="005A6F60" w:rsidRDefault="00B31863">
      <w:r>
        <w:t>Prihodi iz nadležnog proračuna za financiranje rashoda za nabavu nefinancijske imovine – ove godine doznačena su nam sredstva od Ministarstva znanosti, obrazovanja i mladih temeljem Odluke o korištenju planiranih financijskih sredstava s kapitalnog projekt</w:t>
      </w:r>
      <w:r>
        <w:t>a K621061 - INFRASTRUKTURA VISOKOOBRAZOVNIH USTANOVA u Državnom proračunu Republike Hrvatske za 2025. godinu. Sredstva su doznačena nadoknadom troškova kupnje prostora od Ministarstva znanosti, obrazovanja i mladih radi stjecanja nekretnine na adresi Gundu</w:t>
      </w:r>
      <w:r>
        <w:t>lićeva 3, 1. kat u Zagrebu, u svrhu korištenja za obavljanje osnovne djelatnosti održavanje nastave i znanstveno istraživačkog rada. </w:t>
      </w:r>
    </w:p>
    <w:p w:rsidR="005A6F60" w:rsidRDefault="005A6F60"/>
    <w:p w:rsidR="005A6F60" w:rsidRDefault="00B31863">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w:t>
            </w:r>
            <w:r>
              <w:rPr>
                <w:b/>
                <w:sz w:val="18"/>
              </w:rPr>
              <w:t>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3</w:t>
            </w:r>
          </w:p>
        </w:tc>
        <w:tc>
          <w:tcPr>
            <w:tcW w:w="3180" w:type="dxa"/>
            <w:tcMar>
              <w:top w:w="0" w:type="dxa"/>
              <w:bottom w:w="0" w:type="dxa"/>
            </w:tcMar>
            <w:vAlign w:val="center"/>
          </w:tcPr>
          <w:p w:rsidR="005A6F60" w:rsidRDefault="00B31863">
            <w:pPr>
              <w:keepNext/>
              <w:keepLines/>
              <w:spacing w:after="0" w:line="240" w:lineRule="auto"/>
            </w:pPr>
            <w:r>
              <w:rPr>
                <w:sz w:val="18"/>
              </w:rPr>
              <w:t>RASHODI POSLOVANJA (šifre 31+32+34+35+36+37+38)</w:t>
            </w:r>
          </w:p>
        </w:tc>
        <w:tc>
          <w:tcPr>
            <w:tcW w:w="700" w:type="dxa"/>
            <w:tcMar>
              <w:top w:w="0" w:type="dxa"/>
              <w:bottom w:w="0" w:type="dxa"/>
            </w:tcMar>
            <w:vAlign w:val="center"/>
          </w:tcPr>
          <w:p w:rsidR="005A6F60" w:rsidRDefault="00B31863">
            <w:pPr>
              <w:keepNext/>
              <w:keepLines/>
              <w:spacing w:after="0" w:line="240" w:lineRule="auto"/>
            </w:pPr>
            <w:r>
              <w:rPr>
                <w:sz w:val="18"/>
              </w:rPr>
              <w:t>3</w:t>
            </w:r>
          </w:p>
        </w:tc>
        <w:tc>
          <w:tcPr>
            <w:tcW w:w="1860" w:type="dxa"/>
            <w:tcMar>
              <w:top w:w="0" w:type="dxa"/>
              <w:bottom w:w="0" w:type="dxa"/>
            </w:tcMar>
            <w:vAlign w:val="center"/>
          </w:tcPr>
          <w:p w:rsidR="005A6F60" w:rsidRDefault="00B31863">
            <w:pPr>
              <w:keepNext/>
              <w:keepLines/>
              <w:spacing w:after="0" w:line="240" w:lineRule="auto"/>
              <w:jc w:val="right"/>
            </w:pPr>
            <w:r>
              <w:rPr>
                <w:sz w:val="18"/>
              </w:rPr>
              <w:t>9.439.236,78</w:t>
            </w:r>
          </w:p>
        </w:tc>
        <w:tc>
          <w:tcPr>
            <w:tcW w:w="1860" w:type="dxa"/>
            <w:tcMar>
              <w:top w:w="0" w:type="dxa"/>
              <w:bottom w:w="0" w:type="dxa"/>
            </w:tcMar>
            <w:vAlign w:val="center"/>
          </w:tcPr>
          <w:p w:rsidR="005A6F60" w:rsidRDefault="00B31863">
            <w:pPr>
              <w:keepNext/>
              <w:keepLines/>
              <w:spacing w:after="0" w:line="240" w:lineRule="auto"/>
              <w:jc w:val="right"/>
            </w:pPr>
            <w:r>
              <w:rPr>
                <w:sz w:val="18"/>
              </w:rPr>
              <w:t>11.075.950,88</w:t>
            </w:r>
          </w:p>
        </w:tc>
        <w:tc>
          <w:tcPr>
            <w:tcW w:w="700" w:type="dxa"/>
            <w:tcMar>
              <w:top w:w="0" w:type="dxa"/>
              <w:bottom w:w="0" w:type="dxa"/>
            </w:tcMar>
            <w:vAlign w:val="center"/>
          </w:tcPr>
          <w:p w:rsidR="005A6F60" w:rsidRDefault="00B31863">
            <w:pPr>
              <w:keepNext/>
              <w:keepLines/>
              <w:spacing w:after="0" w:line="240" w:lineRule="auto"/>
              <w:jc w:val="right"/>
            </w:pPr>
            <w:r>
              <w:rPr>
                <w:sz w:val="18"/>
              </w:rPr>
              <w:t>117,3</w:t>
            </w:r>
          </w:p>
        </w:tc>
      </w:tr>
    </w:tbl>
    <w:p w:rsidR="005A6F60" w:rsidRDefault="005A6F60">
      <w:pPr>
        <w:spacing w:after="0"/>
      </w:pPr>
    </w:p>
    <w:p w:rsidR="005A6F60" w:rsidRDefault="00B31863">
      <w:r>
        <w:t>Ukupno izvršeni rashodi poslovanja u 2025. godini veći su za 17,3% u odnosu na prethodnu 2024. godinu.</w:t>
      </w:r>
    </w:p>
    <w:p w:rsidR="005A6F60" w:rsidRDefault="005A6F60"/>
    <w:p w:rsidR="005A6F60" w:rsidRDefault="00B31863">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 xml:space="preserve">Račun iz </w:t>
            </w:r>
            <w:r>
              <w:rPr>
                <w:b/>
                <w:sz w:val="18"/>
              </w:rPr>
              <w:t>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31</w:t>
            </w:r>
          </w:p>
        </w:tc>
        <w:tc>
          <w:tcPr>
            <w:tcW w:w="3180" w:type="dxa"/>
            <w:tcMar>
              <w:top w:w="0" w:type="dxa"/>
              <w:bottom w:w="0" w:type="dxa"/>
            </w:tcMar>
            <w:vAlign w:val="center"/>
          </w:tcPr>
          <w:p w:rsidR="005A6F60" w:rsidRDefault="00B31863">
            <w:pPr>
              <w:keepNext/>
              <w:keepLines/>
              <w:spacing w:after="0" w:line="240" w:lineRule="auto"/>
            </w:pPr>
            <w:r>
              <w:rPr>
                <w:sz w:val="18"/>
              </w:rPr>
              <w:t>Rashodi za zaposlene (šifre 311+312+313)</w:t>
            </w:r>
          </w:p>
        </w:tc>
        <w:tc>
          <w:tcPr>
            <w:tcW w:w="700" w:type="dxa"/>
            <w:tcMar>
              <w:top w:w="0" w:type="dxa"/>
              <w:bottom w:w="0" w:type="dxa"/>
            </w:tcMar>
            <w:vAlign w:val="center"/>
          </w:tcPr>
          <w:p w:rsidR="005A6F60" w:rsidRDefault="00B31863">
            <w:pPr>
              <w:keepNext/>
              <w:keepLines/>
              <w:spacing w:after="0" w:line="240" w:lineRule="auto"/>
            </w:pPr>
            <w:r>
              <w:rPr>
                <w:sz w:val="18"/>
              </w:rPr>
              <w:t>31</w:t>
            </w:r>
          </w:p>
        </w:tc>
        <w:tc>
          <w:tcPr>
            <w:tcW w:w="1860" w:type="dxa"/>
            <w:tcMar>
              <w:top w:w="0" w:type="dxa"/>
              <w:bottom w:w="0" w:type="dxa"/>
            </w:tcMar>
            <w:vAlign w:val="center"/>
          </w:tcPr>
          <w:p w:rsidR="005A6F60" w:rsidRDefault="00B31863">
            <w:pPr>
              <w:keepNext/>
              <w:keepLines/>
              <w:spacing w:after="0" w:line="240" w:lineRule="auto"/>
              <w:jc w:val="right"/>
            </w:pPr>
            <w:r>
              <w:rPr>
                <w:sz w:val="18"/>
              </w:rPr>
              <w:t>7.803.580,57</w:t>
            </w:r>
          </w:p>
        </w:tc>
        <w:tc>
          <w:tcPr>
            <w:tcW w:w="1860" w:type="dxa"/>
            <w:tcMar>
              <w:top w:w="0" w:type="dxa"/>
              <w:bottom w:w="0" w:type="dxa"/>
            </w:tcMar>
            <w:vAlign w:val="center"/>
          </w:tcPr>
          <w:p w:rsidR="005A6F60" w:rsidRDefault="00B31863">
            <w:pPr>
              <w:keepNext/>
              <w:keepLines/>
              <w:spacing w:after="0" w:line="240" w:lineRule="auto"/>
              <w:jc w:val="right"/>
            </w:pPr>
            <w:r>
              <w:rPr>
                <w:sz w:val="18"/>
              </w:rPr>
              <w:t>9.295.950,75</w:t>
            </w:r>
          </w:p>
        </w:tc>
        <w:tc>
          <w:tcPr>
            <w:tcW w:w="700" w:type="dxa"/>
            <w:tcMar>
              <w:top w:w="0" w:type="dxa"/>
              <w:bottom w:w="0" w:type="dxa"/>
            </w:tcMar>
            <w:vAlign w:val="center"/>
          </w:tcPr>
          <w:p w:rsidR="005A6F60" w:rsidRDefault="00B31863">
            <w:pPr>
              <w:keepNext/>
              <w:keepLines/>
              <w:spacing w:after="0" w:line="240" w:lineRule="auto"/>
              <w:jc w:val="right"/>
            </w:pPr>
            <w:r>
              <w:rPr>
                <w:sz w:val="18"/>
              </w:rPr>
              <w:t>119,1</w:t>
            </w:r>
          </w:p>
        </w:tc>
      </w:tr>
    </w:tbl>
    <w:p w:rsidR="005A6F60" w:rsidRDefault="005A6F60">
      <w:pPr>
        <w:spacing w:after="0"/>
      </w:pPr>
    </w:p>
    <w:p w:rsidR="005A6F60" w:rsidRDefault="00B31863">
      <w:r>
        <w:lastRenderedPageBreak/>
        <w:t>Rashodi za zaposlene uvećani su za 19,1% u odnosu na prošlu godinu. Povećanje od 19,5% odnosi se na povećanje plaće za redovan rad i na doprinose za obvezno zdravstveno osiguranje. Do značajnog povećanja došlo je primjenom novog Pravilnika o proračunskom r</w:t>
      </w:r>
      <w:r>
        <w:t xml:space="preserve">ačunovodstvu i računskom planu ukidanjem podskupine 193 – kontinuirani rashodi budućeg razdoblja. Kontinuirane rashode prenjeli smo na odgovarajuće račune razreda 3 Rashodi poslovanja 2. siječnja 2025. koji se uključuju u rashode razmjerno broju mjeseci u </w:t>
      </w:r>
      <w:r>
        <w:t xml:space="preserve">razdoblju za koje se izvještaji sastavljaju stoga imamo 13 rashoda za plaću. Povećanja se odnose i na povećanje temeljem Uredbe o nazivima radnih mjesta, uvjetima za raspored i koeficijentima za obračun plaće u javnim službama. Uredbom su propisani nazivi </w:t>
      </w:r>
      <w:r>
        <w:t>radnih mjesta u javnim službama, klasifikacija radnih mjesta u pripadajući platni razred i koeficijent za obračun plaće. </w:t>
      </w:r>
    </w:p>
    <w:p w:rsidR="005A6F60" w:rsidRDefault="005A6F60"/>
    <w:p w:rsidR="005A6F60" w:rsidRDefault="00B31863">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w:t>
            </w:r>
            <w:r>
              <w:rPr>
                <w:b/>
                <w:sz w:val="18"/>
              </w:rPr>
              <w:t>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3211</w:t>
            </w:r>
          </w:p>
        </w:tc>
        <w:tc>
          <w:tcPr>
            <w:tcW w:w="3180" w:type="dxa"/>
            <w:tcMar>
              <w:top w:w="0" w:type="dxa"/>
              <w:bottom w:w="0" w:type="dxa"/>
            </w:tcMar>
            <w:vAlign w:val="center"/>
          </w:tcPr>
          <w:p w:rsidR="005A6F60" w:rsidRDefault="00B31863">
            <w:pPr>
              <w:keepNext/>
              <w:keepLines/>
              <w:spacing w:after="0" w:line="240" w:lineRule="auto"/>
            </w:pPr>
            <w:r>
              <w:rPr>
                <w:sz w:val="18"/>
              </w:rPr>
              <w:t>Službena putovanja</w:t>
            </w:r>
          </w:p>
        </w:tc>
        <w:tc>
          <w:tcPr>
            <w:tcW w:w="700" w:type="dxa"/>
            <w:tcMar>
              <w:top w:w="0" w:type="dxa"/>
              <w:bottom w:w="0" w:type="dxa"/>
            </w:tcMar>
            <w:vAlign w:val="center"/>
          </w:tcPr>
          <w:p w:rsidR="005A6F60" w:rsidRDefault="00B31863">
            <w:pPr>
              <w:keepNext/>
              <w:keepLines/>
              <w:spacing w:after="0" w:line="240" w:lineRule="auto"/>
            </w:pPr>
            <w:r>
              <w:rPr>
                <w:sz w:val="18"/>
              </w:rPr>
              <w:t>3211</w:t>
            </w:r>
          </w:p>
        </w:tc>
        <w:tc>
          <w:tcPr>
            <w:tcW w:w="1860" w:type="dxa"/>
            <w:tcMar>
              <w:top w:w="0" w:type="dxa"/>
              <w:bottom w:w="0" w:type="dxa"/>
            </w:tcMar>
            <w:vAlign w:val="center"/>
          </w:tcPr>
          <w:p w:rsidR="005A6F60" w:rsidRDefault="00B31863">
            <w:pPr>
              <w:keepNext/>
              <w:keepLines/>
              <w:spacing w:after="0" w:line="240" w:lineRule="auto"/>
              <w:jc w:val="right"/>
            </w:pPr>
            <w:r>
              <w:rPr>
                <w:sz w:val="18"/>
              </w:rPr>
              <w:t>104.741,77</w:t>
            </w:r>
          </w:p>
        </w:tc>
        <w:tc>
          <w:tcPr>
            <w:tcW w:w="1860" w:type="dxa"/>
            <w:tcMar>
              <w:top w:w="0" w:type="dxa"/>
              <w:bottom w:w="0" w:type="dxa"/>
            </w:tcMar>
            <w:vAlign w:val="center"/>
          </w:tcPr>
          <w:p w:rsidR="005A6F60" w:rsidRDefault="00B31863">
            <w:pPr>
              <w:keepNext/>
              <w:keepLines/>
              <w:spacing w:after="0" w:line="240" w:lineRule="auto"/>
              <w:jc w:val="right"/>
            </w:pPr>
            <w:r>
              <w:rPr>
                <w:sz w:val="18"/>
              </w:rPr>
              <w:t>154.008,53</w:t>
            </w:r>
          </w:p>
        </w:tc>
        <w:tc>
          <w:tcPr>
            <w:tcW w:w="700" w:type="dxa"/>
            <w:tcMar>
              <w:top w:w="0" w:type="dxa"/>
              <w:bottom w:w="0" w:type="dxa"/>
            </w:tcMar>
            <w:vAlign w:val="center"/>
          </w:tcPr>
          <w:p w:rsidR="005A6F60" w:rsidRDefault="00B31863">
            <w:pPr>
              <w:keepNext/>
              <w:keepLines/>
              <w:spacing w:after="0" w:line="240" w:lineRule="auto"/>
              <w:jc w:val="right"/>
            </w:pPr>
            <w:r>
              <w:rPr>
                <w:sz w:val="18"/>
              </w:rPr>
              <w:t>147,0</w:t>
            </w:r>
          </w:p>
        </w:tc>
      </w:tr>
    </w:tbl>
    <w:p w:rsidR="005A6F60" w:rsidRDefault="005A6F60">
      <w:pPr>
        <w:spacing w:after="0"/>
      </w:pPr>
    </w:p>
    <w:p w:rsidR="005A6F60" w:rsidRDefault="00B31863">
      <w:r>
        <w:t>Troškovi za službena putovanja – znatno povećanje od 47% jer se povećao broj odlazaka u zemlji i inozemstvu na kongrese i konferencije radi stručnog usavršavanja.</w:t>
      </w:r>
    </w:p>
    <w:p w:rsidR="005A6F60" w:rsidRDefault="005A6F60"/>
    <w:p w:rsidR="005A6F60" w:rsidRDefault="00B31863">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3212</w:t>
            </w:r>
          </w:p>
        </w:tc>
        <w:tc>
          <w:tcPr>
            <w:tcW w:w="3180" w:type="dxa"/>
            <w:tcMar>
              <w:top w:w="0" w:type="dxa"/>
              <w:bottom w:w="0" w:type="dxa"/>
            </w:tcMar>
            <w:vAlign w:val="center"/>
          </w:tcPr>
          <w:p w:rsidR="005A6F60" w:rsidRDefault="00B31863">
            <w:pPr>
              <w:keepNext/>
              <w:keepLines/>
              <w:spacing w:after="0" w:line="240" w:lineRule="auto"/>
            </w:pPr>
            <w:r>
              <w:rPr>
                <w:sz w:val="18"/>
              </w:rPr>
              <w:t>Naknade za prijevoz, za rad na terenu i odvojeni život</w:t>
            </w:r>
          </w:p>
        </w:tc>
        <w:tc>
          <w:tcPr>
            <w:tcW w:w="700" w:type="dxa"/>
            <w:tcMar>
              <w:top w:w="0" w:type="dxa"/>
              <w:bottom w:w="0" w:type="dxa"/>
            </w:tcMar>
            <w:vAlign w:val="center"/>
          </w:tcPr>
          <w:p w:rsidR="005A6F60" w:rsidRDefault="00B31863">
            <w:pPr>
              <w:keepNext/>
              <w:keepLines/>
              <w:spacing w:after="0" w:line="240" w:lineRule="auto"/>
            </w:pPr>
            <w:r>
              <w:rPr>
                <w:sz w:val="18"/>
              </w:rPr>
              <w:t>3212</w:t>
            </w:r>
          </w:p>
        </w:tc>
        <w:tc>
          <w:tcPr>
            <w:tcW w:w="1860" w:type="dxa"/>
            <w:tcMar>
              <w:top w:w="0" w:type="dxa"/>
              <w:bottom w:w="0" w:type="dxa"/>
            </w:tcMar>
            <w:vAlign w:val="center"/>
          </w:tcPr>
          <w:p w:rsidR="005A6F60" w:rsidRDefault="00B31863">
            <w:pPr>
              <w:keepNext/>
              <w:keepLines/>
              <w:spacing w:after="0" w:line="240" w:lineRule="auto"/>
              <w:jc w:val="right"/>
            </w:pPr>
            <w:r>
              <w:rPr>
                <w:sz w:val="18"/>
              </w:rPr>
              <w:t>69.686,60</w:t>
            </w:r>
          </w:p>
        </w:tc>
        <w:tc>
          <w:tcPr>
            <w:tcW w:w="1860" w:type="dxa"/>
            <w:tcMar>
              <w:top w:w="0" w:type="dxa"/>
              <w:bottom w:w="0" w:type="dxa"/>
            </w:tcMar>
            <w:vAlign w:val="center"/>
          </w:tcPr>
          <w:p w:rsidR="005A6F60" w:rsidRDefault="00B31863">
            <w:pPr>
              <w:keepNext/>
              <w:keepLines/>
              <w:spacing w:after="0" w:line="240" w:lineRule="auto"/>
              <w:jc w:val="right"/>
            </w:pPr>
            <w:r>
              <w:rPr>
                <w:sz w:val="18"/>
              </w:rPr>
              <w:t>75.621,73</w:t>
            </w:r>
          </w:p>
        </w:tc>
        <w:tc>
          <w:tcPr>
            <w:tcW w:w="700" w:type="dxa"/>
            <w:tcMar>
              <w:top w:w="0" w:type="dxa"/>
              <w:bottom w:w="0" w:type="dxa"/>
            </w:tcMar>
            <w:vAlign w:val="center"/>
          </w:tcPr>
          <w:p w:rsidR="005A6F60" w:rsidRDefault="00B31863">
            <w:pPr>
              <w:keepNext/>
              <w:keepLines/>
              <w:spacing w:after="0" w:line="240" w:lineRule="auto"/>
              <w:jc w:val="right"/>
            </w:pPr>
            <w:r>
              <w:rPr>
                <w:sz w:val="18"/>
              </w:rPr>
              <w:t>108,5</w:t>
            </w:r>
          </w:p>
        </w:tc>
      </w:tr>
    </w:tbl>
    <w:p w:rsidR="005A6F60" w:rsidRDefault="005A6F60">
      <w:pPr>
        <w:spacing w:after="0"/>
      </w:pPr>
    </w:p>
    <w:p w:rsidR="005A6F60" w:rsidRDefault="00B31863">
      <w:r>
        <w:t>Naknade za prijevoz, za rad na terenu i odvojeni život veći su za 8,5% u odnosu na prošlu godinu, radi ukidanja podskupine 193 – kontinuirani rashodi budućeg razdoblja, stoga imamo 13 rashoda za prijevoz u IV. kvartalu.</w:t>
      </w:r>
    </w:p>
    <w:p w:rsidR="005A6F60" w:rsidRDefault="005A6F60"/>
    <w:p w:rsidR="005A6F60" w:rsidRDefault="00B31863">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w:t>
            </w:r>
            <w:r>
              <w:rPr>
                <w:b/>
                <w:sz w:val="18"/>
              </w:rPr>
              <w:t>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3213</w:t>
            </w:r>
          </w:p>
        </w:tc>
        <w:tc>
          <w:tcPr>
            <w:tcW w:w="3180" w:type="dxa"/>
            <w:tcMar>
              <w:top w:w="0" w:type="dxa"/>
              <w:bottom w:w="0" w:type="dxa"/>
            </w:tcMar>
            <w:vAlign w:val="center"/>
          </w:tcPr>
          <w:p w:rsidR="005A6F60" w:rsidRDefault="00B31863">
            <w:pPr>
              <w:keepNext/>
              <w:keepLines/>
              <w:spacing w:after="0" w:line="240" w:lineRule="auto"/>
            </w:pPr>
            <w:r>
              <w:rPr>
                <w:sz w:val="18"/>
              </w:rPr>
              <w:t>Stručno usavršavanje zaposlenika</w:t>
            </w:r>
          </w:p>
        </w:tc>
        <w:tc>
          <w:tcPr>
            <w:tcW w:w="700" w:type="dxa"/>
            <w:tcMar>
              <w:top w:w="0" w:type="dxa"/>
              <w:bottom w:w="0" w:type="dxa"/>
            </w:tcMar>
            <w:vAlign w:val="center"/>
          </w:tcPr>
          <w:p w:rsidR="005A6F60" w:rsidRDefault="00B31863">
            <w:pPr>
              <w:keepNext/>
              <w:keepLines/>
              <w:spacing w:after="0" w:line="240" w:lineRule="auto"/>
            </w:pPr>
            <w:r>
              <w:rPr>
                <w:sz w:val="18"/>
              </w:rPr>
              <w:t>3213</w:t>
            </w:r>
          </w:p>
        </w:tc>
        <w:tc>
          <w:tcPr>
            <w:tcW w:w="1860" w:type="dxa"/>
            <w:tcMar>
              <w:top w:w="0" w:type="dxa"/>
              <w:bottom w:w="0" w:type="dxa"/>
            </w:tcMar>
            <w:vAlign w:val="center"/>
          </w:tcPr>
          <w:p w:rsidR="005A6F60" w:rsidRDefault="00B31863">
            <w:pPr>
              <w:keepNext/>
              <w:keepLines/>
              <w:spacing w:after="0" w:line="240" w:lineRule="auto"/>
              <w:jc w:val="right"/>
            </w:pPr>
            <w:r>
              <w:rPr>
                <w:sz w:val="18"/>
              </w:rPr>
              <w:t>34.537,71</w:t>
            </w:r>
          </w:p>
        </w:tc>
        <w:tc>
          <w:tcPr>
            <w:tcW w:w="1860" w:type="dxa"/>
            <w:tcMar>
              <w:top w:w="0" w:type="dxa"/>
              <w:bottom w:w="0" w:type="dxa"/>
            </w:tcMar>
            <w:vAlign w:val="center"/>
          </w:tcPr>
          <w:p w:rsidR="005A6F60" w:rsidRDefault="00B31863">
            <w:pPr>
              <w:keepNext/>
              <w:keepLines/>
              <w:spacing w:after="0" w:line="240" w:lineRule="auto"/>
              <w:jc w:val="right"/>
            </w:pPr>
            <w:r>
              <w:rPr>
                <w:sz w:val="18"/>
              </w:rPr>
              <w:t>43.764,95</w:t>
            </w:r>
          </w:p>
        </w:tc>
        <w:tc>
          <w:tcPr>
            <w:tcW w:w="700" w:type="dxa"/>
            <w:tcMar>
              <w:top w:w="0" w:type="dxa"/>
              <w:bottom w:w="0" w:type="dxa"/>
            </w:tcMar>
            <w:vAlign w:val="center"/>
          </w:tcPr>
          <w:p w:rsidR="005A6F60" w:rsidRDefault="00B31863">
            <w:pPr>
              <w:keepNext/>
              <w:keepLines/>
              <w:spacing w:after="0" w:line="240" w:lineRule="auto"/>
              <w:jc w:val="right"/>
            </w:pPr>
            <w:r>
              <w:rPr>
                <w:sz w:val="18"/>
              </w:rPr>
              <w:t>126,7</w:t>
            </w:r>
          </w:p>
        </w:tc>
      </w:tr>
    </w:tbl>
    <w:p w:rsidR="005A6F60" w:rsidRDefault="005A6F60">
      <w:pPr>
        <w:spacing w:after="0"/>
      </w:pPr>
    </w:p>
    <w:p w:rsidR="005A6F60" w:rsidRDefault="00B31863">
      <w:r>
        <w:lastRenderedPageBreak/>
        <w:t xml:space="preserve">Troškovi za stručno usavršavanje zaposlenika su veći 26,7% u odnosu na prošlu godinu. Povećanje se odnosi na visoke cijene kotizacija (porasle su cijene) za stručna usavršavanja vezano uz odlaske na razne seminare, kongrese i konferencije u inozemstvo, te </w:t>
      </w:r>
      <w:r>
        <w:t>se povećao i broj odlazaka u zemlji i inozemstvu na kongrese i konferencije radi stručnog usavršavanja.</w:t>
      </w:r>
    </w:p>
    <w:p w:rsidR="005A6F60" w:rsidRDefault="005A6F60"/>
    <w:p w:rsidR="005A6F60" w:rsidRDefault="00B31863">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3221</w:t>
            </w:r>
          </w:p>
        </w:tc>
        <w:tc>
          <w:tcPr>
            <w:tcW w:w="3180" w:type="dxa"/>
            <w:tcMar>
              <w:top w:w="0" w:type="dxa"/>
              <w:bottom w:w="0" w:type="dxa"/>
            </w:tcMar>
            <w:vAlign w:val="center"/>
          </w:tcPr>
          <w:p w:rsidR="005A6F60" w:rsidRDefault="00B31863">
            <w:pPr>
              <w:keepNext/>
              <w:keepLines/>
              <w:spacing w:after="0" w:line="240" w:lineRule="auto"/>
            </w:pPr>
            <w:r>
              <w:rPr>
                <w:sz w:val="18"/>
              </w:rPr>
              <w:t>Uredski materijal i ostali materijalni rashodi</w:t>
            </w:r>
          </w:p>
        </w:tc>
        <w:tc>
          <w:tcPr>
            <w:tcW w:w="700" w:type="dxa"/>
            <w:tcMar>
              <w:top w:w="0" w:type="dxa"/>
              <w:bottom w:w="0" w:type="dxa"/>
            </w:tcMar>
            <w:vAlign w:val="center"/>
          </w:tcPr>
          <w:p w:rsidR="005A6F60" w:rsidRDefault="00B31863">
            <w:pPr>
              <w:keepNext/>
              <w:keepLines/>
              <w:spacing w:after="0" w:line="240" w:lineRule="auto"/>
            </w:pPr>
            <w:r>
              <w:rPr>
                <w:sz w:val="18"/>
              </w:rPr>
              <w:t>3221</w:t>
            </w:r>
          </w:p>
        </w:tc>
        <w:tc>
          <w:tcPr>
            <w:tcW w:w="1860" w:type="dxa"/>
            <w:tcMar>
              <w:top w:w="0" w:type="dxa"/>
              <w:bottom w:w="0" w:type="dxa"/>
            </w:tcMar>
            <w:vAlign w:val="center"/>
          </w:tcPr>
          <w:p w:rsidR="005A6F60" w:rsidRDefault="00B31863">
            <w:pPr>
              <w:keepNext/>
              <w:keepLines/>
              <w:spacing w:after="0" w:line="240" w:lineRule="auto"/>
              <w:jc w:val="right"/>
            </w:pPr>
            <w:r>
              <w:rPr>
                <w:sz w:val="18"/>
              </w:rPr>
              <w:t>37.489,14</w:t>
            </w:r>
          </w:p>
        </w:tc>
        <w:tc>
          <w:tcPr>
            <w:tcW w:w="1860" w:type="dxa"/>
            <w:tcMar>
              <w:top w:w="0" w:type="dxa"/>
              <w:bottom w:w="0" w:type="dxa"/>
            </w:tcMar>
            <w:vAlign w:val="center"/>
          </w:tcPr>
          <w:p w:rsidR="005A6F60" w:rsidRDefault="00B31863">
            <w:pPr>
              <w:keepNext/>
              <w:keepLines/>
              <w:spacing w:after="0" w:line="240" w:lineRule="auto"/>
              <w:jc w:val="right"/>
            </w:pPr>
            <w:r>
              <w:rPr>
                <w:sz w:val="18"/>
              </w:rPr>
              <w:t>193.016,67</w:t>
            </w:r>
          </w:p>
        </w:tc>
        <w:tc>
          <w:tcPr>
            <w:tcW w:w="700" w:type="dxa"/>
            <w:tcMar>
              <w:top w:w="0" w:type="dxa"/>
              <w:bottom w:w="0" w:type="dxa"/>
            </w:tcMar>
            <w:vAlign w:val="center"/>
          </w:tcPr>
          <w:p w:rsidR="005A6F60" w:rsidRDefault="00B31863">
            <w:pPr>
              <w:keepNext/>
              <w:keepLines/>
              <w:spacing w:after="0" w:line="240" w:lineRule="auto"/>
              <w:jc w:val="right"/>
            </w:pPr>
            <w:r>
              <w:rPr>
                <w:sz w:val="18"/>
              </w:rPr>
              <w:t>514,9</w:t>
            </w:r>
          </w:p>
        </w:tc>
      </w:tr>
    </w:tbl>
    <w:p w:rsidR="005A6F60" w:rsidRDefault="005A6F60">
      <w:pPr>
        <w:spacing w:after="0"/>
      </w:pPr>
    </w:p>
    <w:p w:rsidR="005A6F60" w:rsidRDefault="00B31863">
      <w:r>
        <w:t>Uredski materijal i ostali materijalni rashodi – značajno odstupanje u odnosu na prošlu godinu radi ukidanja računa iz računskog plana 3222 Materijali i sirovine. Kada bi uzeli u obzir u odnosu na prošlu godinu nabavu uredskog materijala i ostalih materija</w:t>
      </w:r>
      <w:r>
        <w:t>lnih rashoda više smo ove godine nabavljali: uredski materijal, stručne časopise za knjižnicu, potrošni materijal za potrebe istraživanja i nastave, te svrdla i zube koje studenti koriste za rad na vježbama.</w:t>
      </w:r>
    </w:p>
    <w:p w:rsidR="005A6F60" w:rsidRDefault="005A6F60"/>
    <w:p w:rsidR="005A6F60" w:rsidRDefault="00B31863">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w:t>
            </w:r>
            <w:r>
              <w:rPr>
                <w:b/>
                <w:sz w:val="18"/>
              </w:rPr>
              <w:t>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3222</w:t>
            </w:r>
          </w:p>
        </w:tc>
        <w:tc>
          <w:tcPr>
            <w:tcW w:w="3180" w:type="dxa"/>
            <w:tcMar>
              <w:top w:w="0" w:type="dxa"/>
              <w:bottom w:w="0" w:type="dxa"/>
            </w:tcMar>
            <w:vAlign w:val="center"/>
          </w:tcPr>
          <w:p w:rsidR="005A6F60" w:rsidRDefault="00B31863">
            <w:pPr>
              <w:keepNext/>
              <w:keepLines/>
              <w:spacing w:after="0" w:line="240" w:lineRule="auto"/>
            </w:pPr>
            <w:r>
              <w:rPr>
                <w:sz w:val="18"/>
              </w:rPr>
              <w:t>Materijal i sirovine</w:t>
            </w:r>
          </w:p>
        </w:tc>
        <w:tc>
          <w:tcPr>
            <w:tcW w:w="700" w:type="dxa"/>
            <w:tcMar>
              <w:top w:w="0" w:type="dxa"/>
              <w:bottom w:w="0" w:type="dxa"/>
            </w:tcMar>
            <w:vAlign w:val="center"/>
          </w:tcPr>
          <w:p w:rsidR="005A6F60" w:rsidRDefault="00B31863">
            <w:pPr>
              <w:keepNext/>
              <w:keepLines/>
              <w:spacing w:after="0" w:line="240" w:lineRule="auto"/>
            </w:pPr>
            <w:r>
              <w:rPr>
                <w:sz w:val="18"/>
              </w:rPr>
              <w:t>3222</w:t>
            </w:r>
          </w:p>
        </w:tc>
        <w:tc>
          <w:tcPr>
            <w:tcW w:w="1860" w:type="dxa"/>
            <w:tcMar>
              <w:top w:w="0" w:type="dxa"/>
              <w:bottom w:w="0" w:type="dxa"/>
            </w:tcMar>
            <w:vAlign w:val="center"/>
          </w:tcPr>
          <w:p w:rsidR="005A6F60" w:rsidRDefault="00B31863">
            <w:pPr>
              <w:keepNext/>
              <w:keepLines/>
              <w:spacing w:after="0" w:line="240" w:lineRule="auto"/>
              <w:jc w:val="right"/>
            </w:pPr>
            <w:r>
              <w:rPr>
                <w:sz w:val="18"/>
              </w:rPr>
              <w:t>119.368,81</w:t>
            </w:r>
          </w:p>
        </w:tc>
        <w:tc>
          <w:tcPr>
            <w:tcW w:w="1860" w:type="dxa"/>
            <w:tcMar>
              <w:top w:w="0" w:type="dxa"/>
              <w:bottom w:w="0" w:type="dxa"/>
            </w:tcMar>
            <w:vAlign w:val="center"/>
          </w:tcPr>
          <w:p w:rsidR="005A6F60" w:rsidRDefault="00B31863">
            <w:pPr>
              <w:keepNext/>
              <w:keepLines/>
              <w:spacing w:after="0" w:line="240" w:lineRule="auto"/>
              <w:jc w:val="right"/>
            </w:pPr>
            <w:r>
              <w:rPr>
                <w:sz w:val="18"/>
              </w:rPr>
              <w:t>0,00</w:t>
            </w:r>
          </w:p>
        </w:tc>
        <w:tc>
          <w:tcPr>
            <w:tcW w:w="700" w:type="dxa"/>
            <w:tcMar>
              <w:top w:w="0" w:type="dxa"/>
              <w:bottom w:w="0" w:type="dxa"/>
            </w:tcMar>
            <w:vAlign w:val="center"/>
          </w:tcPr>
          <w:p w:rsidR="005A6F60" w:rsidRDefault="00B31863">
            <w:pPr>
              <w:keepNext/>
              <w:keepLines/>
              <w:spacing w:after="0" w:line="240" w:lineRule="auto"/>
              <w:jc w:val="right"/>
            </w:pPr>
            <w:r>
              <w:rPr>
                <w:sz w:val="18"/>
              </w:rPr>
              <w:t>0</w:t>
            </w:r>
          </w:p>
        </w:tc>
      </w:tr>
    </w:tbl>
    <w:p w:rsidR="005A6F60" w:rsidRDefault="005A6F60">
      <w:pPr>
        <w:spacing w:after="0"/>
      </w:pPr>
    </w:p>
    <w:p w:rsidR="005A6F60" w:rsidRDefault="00B31863">
      <w:r>
        <w:t>Materijali i sirovine – ove godine nema rashoda ukidanjem računa iz računskog plana, primjenom novog Pravilnika o proračunskom računovodstvu i računskom planu. Rashodi su ostvareni pod ostalim materijalnim rashodima, a odnosili su se na: stomatološki potro</w:t>
      </w:r>
      <w:r>
        <w:t>šni materijal, stomatološki pribor, potrošni materijal za nastavu i znanstvena istraživanja, laboratorijski materijal za znanstvena istraživanja te za svrdla i zube.</w:t>
      </w:r>
    </w:p>
    <w:p w:rsidR="005A6F60" w:rsidRDefault="005A6F60"/>
    <w:p w:rsidR="005A6F60" w:rsidRDefault="00B31863">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w:t>
            </w:r>
            <w:r>
              <w:rPr>
                <w:b/>
                <w:sz w:val="18"/>
              </w:rPr>
              <w:t>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3225</w:t>
            </w:r>
          </w:p>
        </w:tc>
        <w:tc>
          <w:tcPr>
            <w:tcW w:w="3180" w:type="dxa"/>
            <w:tcMar>
              <w:top w:w="0" w:type="dxa"/>
              <w:bottom w:w="0" w:type="dxa"/>
            </w:tcMar>
            <w:vAlign w:val="center"/>
          </w:tcPr>
          <w:p w:rsidR="005A6F60" w:rsidRDefault="00B31863">
            <w:pPr>
              <w:keepNext/>
              <w:keepLines/>
              <w:spacing w:after="0" w:line="240" w:lineRule="auto"/>
            </w:pPr>
            <w:r>
              <w:rPr>
                <w:sz w:val="18"/>
              </w:rPr>
              <w:t>Sitni inventar i autogume</w:t>
            </w:r>
          </w:p>
        </w:tc>
        <w:tc>
          <w:tcPr>
            <w:tcW w:w="700" w:type="dxa"/>
            <w:tcMar>
              <w:top w:w="0" w:type="dxa"/>
              <w:bottom w:w="0" w:type="dxa"/>
            </w:tcMar>
            <w:vAlign w:val="center"/>
          </w:tcPr>
          <w:p w:rsidR="005A6F60" w:rsidRDefault="00B31863">
            <w:pPr>
              <w:keepNext/>
              <w:keepLines/>
              <w:spacing w:after="0" w:line="240" w:lineRule="auto"/>
            </w:pPr>
            <w:r>
              <w:rPr>
                <w:sz w:val="18"/>
              </w:rPr>
              <w:t>3225</w:t>
            </w:r>
          </w:p>
        </w:tc>
        <w:tc>
          <w:tcPr>
            <w:tcW w:w="1860" w:type="dxa"/>
            <w:tcMar>
              <w:top w:w="0" w:type="dxa"/>
              <w:bottom w:w="0" w:type="dxa"/>
            </w:tcMar>
            <w:vAlign w:val="center"/>
          </w:tcPr>
          <w:p w:rsidR="005A6F60" w:rsidRDefault="00B31863">
            <w:pPr>
              <w:keepNext/>
              <w:keepLines/>
              <w:spacing w:after="0" w:line="240" w:lineRule="auto"/>
              <w:jc w:val="right"/>
            </w:pPr>
            <w:r>
              <w:rPr>
                <w:sz w:val="18"/>
              </w:rPr>
              <w:t>459,80</w:t>
            </w:r>
          </w:p>
        </w:tc>
        <w:tc>
          <w:tcPr>
            <w:tcW w:w="1860" w:type="dxa"/>
            <w:tcMar>
              <w:top w:w="0" w:type="dxa"/>
              <w:bottom w:w="0" w:type="dxa"/>
            </w:tcMar>
            <w:vAlign w:val="center"/>
          </w:tcPr>
          <w:p w:rsidR="005A6F60" w:rsidRDefault="00B31863">
            <w:pPr>
              <w:keepNext/>
              <w:keepLines/>
              <w:spacing w:after="0" w:line="240" w:lineRule="auto"/>
              <w:jc w:val="right"/>
            </w:pPr>
            <w:r>
              <w:rPr>
                <w:sz w:val="18"/>
              </w:rPr>
              <w:t>1.066,80</w:t>
            </w:r>
          </w:p>
        </w:tc>
        <w:tc>
          <w:tcPr>
            <w:tcW w:w="700" w:type="dxa"/>
            <w:tcMar>
              <w:top w:w="0" w:type="dxa"/>
              <w:bottom w:w="0" w:type="dxa"/>
            </w:tcMar>
            <w:vAlign w:val="center"/>
          </w:tcPr>
          <w:p w:rsidR="005A6F60" w:rsidRDefault="00B31863">
            <w:pPr>
              <w:keepNext/>
              <w:keepLines/>
              <w:spacing w:after="0" w:line="240" w:lineRule="auto"/>
              <w:jc w:val="right"/>
            </w:pPr>
            <w:r>
              <w:rPr>
                <w:sz w:val="18"/>
              </w:rPr>
              <w:t>232,0</w:t>
            </w:r>
          </w:p>
        </w:tc>
      </w:tr>
    </w:tbl>
    <w:p w:rsidR="005A6F60" w:rsidRDefault="005A6F60">
      <w:pPr>
        <w:spacing w:after="0"/>
      </w:pPr>
    </w:p>
    <w:p w:rsidR="005A6F60" w:rsidRDefault="00B31863">
      <w:r>
        <w:lastRenderedPageBreak/>
        <w:t>Sitni inventar i auto gume – u odnosu na prošlu godinu troškovi su znatno veći, jer smo nabavljali više sitnog inventara: vješalice, stalci, kante za smeće, telefon, držač papira, mali hladnjak i bojler.</w:t>
      </w:r>
    </w:p>
    <w:p w:rsidR="005A6F60" w:rsidRDefault="005A6F60"/>
    <w:p w:rsidR="005A6F60" w:rsidRDefault="00B31863">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3227</w:t>
            </w:r>
          </w:p>
        </w:tc>
        <w:tc>
          <w:tcPr>
            <w:tcW w:w="3180" w:type="dxa"/>
            <w:tcMar>
              <w:top w:w="0" w:type="dxa"/>
              <w:bottom w:w="0" w:type="dxa"/>
            </w:tcMar>
            <w:vAlign w:val="center"/>
          </w:tcPr>
          <w:p w:rsidR="005A6F60" w:rsidRDefault="00B31863">
            <w:pPr>
              <w:keepNext/>
              <w:keepLines/>
              <w:spacing w:after="0" w:line="240" w:lineRule="auto"/>
            </w:pPr>
            <w:r>
              <w:rPr>
                <w:sz w:val="18"/>
              </w:rPr>
              <w:t>Službena, radna i zaštitna odjeća i obuća</w:t>
            </w:r>
          </w:p>
        </w:tc>
        <w:tc>
          <w:tcPr>
            <w:tcW w:w="700" w:type="dxa"/>
            <w:tcMar>
              <w:top w:w="0" w:type="dxa"/>
              <w:bottom w:w="0" w:type="dxa"/>
            </w:tcMar>
            <w:vAlign w:val="center"/>
          </w:tcPr>
          <w:p w:rsidR="005A6F60" w:rsidRDefault="00B31863">
            <w:pPr>
              <w:keepNext/>
              <w:keepLines/>
              <w:spacing w:after="0" w:line="240" w:lineRule="auto"/>
            </w:pPr>
            <w:r>
              <w:rPr>
                <w:sz w:val="18"/>
              </w:rPr>
              <w:t>3227</w:t>
            </w:r>
          </w:p>
        </w:tc>
        <w:tc>
          <w:tcPr>
            <w:tcW w:w="1860" w:type="dxa"/>
            <w:tcMar>
              <w:top w:w="0" w:type="dxa"/>
              <w:bottom w:w="0" w:type="dxa"/>
            </w:tcMar>
            <w:vAlign w:val="center"/>
          </w:tcPr>
          <w:p w:rsidR="005A6F60" w:rsidRDefault="00B31863">
            <w:pPr>
              <w:keepNext/>
              <w:keepLines/>
              <w:spacing w:after="0" w:line="240" w:lineRule="auto"/>
              <w:jc w:val="right"/>
            </w:pPr>
            <w:r>
              <w:rPr>
                <w:sz w:val="18"/>
              </w:rPr>
              <w:t>11.872,23</w:t>
            </w:r>
          </w:p>
        </w:tc>
        <w:tc>
          <w:tcPr>
            <w:tcW w:w="1860" w:type="dxa"/>
            <w:tcMar>
              <w:top w:w="0" w:type="dxa"/>
              <w:bottom w:w="0" w:type="dxa"/>
            </w:tcMar>
            <w:vAlign w:val="center"/>
          </w:tcPr>
          <w:p w:rsidR="005A6F60" w:rsidRDefault="00B31863">
            <w:pPr>
              <w:keepNext/>
              <w:keepLines/>
              <w:spacing w:after="0" w:line="240" w:lineRule="auto"/>
              <w:jc w:val="right"/>
            </w:pPr>
            <w:r>
              <w:rPr>
                <w:sz w:val="18"/>
              </w:rPr>
              <w:t>4.200,60</w:t>
            </w:r>
          </w:p>
        </w:tc>
        <w:tc>
          <w:tcPr>
            <w:tcW w:w="700" w:type="dxa"/>
            <w:tcMar>
              <w:top w:w="0" w:type="dxa"/>
              <w:bottom w:w="0" w:type="dxa"/>
            </w:tcMar>
            <w:vAlign w:val="center"/>
          </w:tcPr>
          <w:p w:rsidR="005A6F60" w:rsidRDefault="00B31863">
            <w:pPr>
              <w:keepNext/>
              <w:keepLines/>
              <w:spacing w:after="0" w:line="240" w:lineRule="auto"/>
              <w:jc w:val="right"/>
            </w:pPr>
            <w:r>
              <w:rPr>
                <w:sz w:val="18"/>
              </w:rPr>
              <w:t>35,4</w:t>
            </w:r>
          </w:p>
        </w:tc>
      </w:tr>
    </w:tbl>
    <w:p w:rsidR="005A6F60" w:rsidRDefault="005A6F60">
      <w:pPr>
        <w:spacing w:after="0"/>
      </w:pPr>
    </w:p>
    <w:p w:rsidR="005A6F60" w:rsidRDefault="00B31863">
      <w:r>
        <w:t>Službena, radna i zaštitna odjeća i obuća – manji troškovi u odnosu na prošlu godinu jer ove godine još nismo nabavljali studentske kute za obavljanje prakse, nabavili smo i radnu odjeću za Službu za tehničke poslove (održavanje, zaštita na radu).</w:t>
      </w:r>
    </w:p>
    <w:p w:rsidR="005A6F60" w:rsidRDefault="005A6F60"/>
    <w:p w:rsidR="005A6F60" w:rsidRDefault="00B31863">
      <w:pPr>
        <w:keepNext/>
        <w:spacing w:line="240" w:lineRule="auto"/>
        <w:jc w:val="center"/>
      </w:pPr>
      <w:r>
        <w:rPr>
          <w:sz w:val="28"/>
        </w:rPr>
        <w:t>Bilješk</w:t>
      </w:r>
      <w:r>
        <w:rPr>
          <w:sz w:val="28"/>
        </w:rPr>
        <w:t>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3231</w:t>
            </w:r>
          </w:p>
        </w:tc>
        <w:tc>
          <w:tcPr>
            <w:tcW w:w="3180" w:type="dxa"/>
            <w:tcMar>
              <w:top w:w="0" w:type="dxa"/>
              <w:bottom w:w="0" w:type="dxa"/>
            </w:tcMar>
            <w:vAlign w:val="center"/>
          </w:tcPr>
          <w:p w:rsidR="005A6F60" w:rsidRDefault="00B31863">
            <w:pPr>
              <w:keepNext/>
              <w:keepLines/>
              <w:spacing w:after="0" w:line="240" w:lineRule="auto"/>
            </w:pPr>
            <w:r>
              <w:rPr>
                <w:sz w:val="18"/>
              </w:rPr>
              <w:t>Usluge telefona, interneta, pošte i prijevoza</w:t>
            </w:r>
          </w:p>
        </w:tc>
        <w:tc>
          <w:tcPr>
            <w:tcW w:w="700" w:type="dxa"/>
            <w:tcMar>
              <w:top w:w="0" w:type="dxa"/>
              <w:bottom w:w="0" w:type="dxa"/>
            </w:tcMar>
            <w:vAlign w:val="center"/>
          </w:tcPr>
          <w:p w:rsidR="005A6F60" w:rsidRDefault="00B31863">
            <w:pPr>
              <w:keepNext/>
              <w:keepLines/>
              <w:spacing w:after="0" w:line="240" w:lineRule="auto"/>
            </w:pPr>
            <w:r>
              <w:rPr>
                <w:sz w:val="18"/>
              </w:rPr>
              <w:t>3231</w:t>
            </w:r>
          </w:p>
        </w:tc>
        <w:tc>
          <w:tcPr>
            <w:tcW w:w="1860" w:type="dxa"/>
            <w:tcMar>
              <w:top w:w="0" w:type="dxa"/>
              <w:bottom w:w="0" w:type="dxa"/>
            </w:tcMar>
            <w:vAlign w:val="center"/>
          </w:tcPr>
          <w:p w:rsidR="005A6F60" w:rsidRDefault="00B31863">
            <w:pPr>
              <w:keepNext/>
              <w:keepLines/>
              <w:spacing w:after="0" w:line="240" w:lineRule="auto"/>
              <w:jc w:val="right"/>
            </w:pPr>
            <w:r>
              <w:rPr>
                <w:sz w:val="18"/>
              </w:rPr>
              <w:t>17.945,16</w:t>
            </w:r>
          </w:p>
        </w:tc>
        <w:tc>
          <w:tcPr>
            <w:tcW w:w="1860" w:type="dxa"/>
            <w:tcMar>
              <w:top w:w="0" w:type="dxa"/>
              <w:bottom w:w="0" w:type="dxa"/>
            </w:tcMar>
            <w:vAlign w:val="center"/>
          </w:tcPr>
          <w:p w:rsidR="005A6F60" w:rsidRDefault="00B31863">
            <w:pPr>
              <w:keepNext/>
              <w:keepLines/>
              <w:spacing w:after="0" w:line="240" w:lineRule="auto"/>
              <w:jc w:val="right"/>
            </w:pPr>
            <w:r>
              <w:rPr>
                <w:sz w:val="18"/>
              </w:rPr>
              <w:t>25.582,69</w:t>
            </w:r>
          </w:p>
        </w:tc>
        <w:tc>
          <w:tcPr>
            <w:tcW w:w="700" w:type="dxa"/>
            <w:tcMar>
              <w:top w:w="0" w:type="dxa"/>
              <w:bottom w:w="0" w:type="dxa"/>
            </w:tcMar>
            <w:vAlign w:val="center"/>
          </w:tcPr>
          <w:p w:rsidR="005A6F60" w:rsidRDefault="00B31863">
            <w:pPr>
              <w:keepNext/>
              <w:keepLines/>
              <w:spacing w:after="0" w:line="240" w:lineRule="auto"/>
              <w:jc w:val="right"/>
            </w:pPr>
            <w:r>
              <w:rPr>
                <w:sz w:val="18"/>
              </w:rPr>
              <w:t>142,6</w:t>
            </w:r>
          </w:p>
        </w:tc>
      </w:tr>
    </w:tbl>
    <w:p w:rsidR="005A6F60" w:rsidRDefault="005A6F60">
      <w:pPr>
        <w:spacing w:after="0"/>
      </w:pPr>
    </w:p>
    <w:p w:rsidR="005A6F60" w:rsidRDefault="00B31863">
      <w:r>
        <w:t>Rashodi za usluge telefona, interneta, pošte i prijevoza u odnosu na prošlu godinu veći su 42,6%, a odnose se na trošak distribucije knjižica za cjeloživotno obrazovanje i organizirani trošak prijevoza za studentski kongres. </w:t>
      </w:r>
    </w:p>
    <w:p w:rsidR="005A6F60" w:rsidRDefault="005A6F60"/>
    <w:p w:rsidR="005A6F60" w:rsidRDefault="00B31863">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w:t>
            </w:r>
            <w:r>
              <w:rPr>
                <w:b/>
                <w:sz w:val="18"/>
              </w:rPr>
              <w:t>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3232</w:t>
            </w:r>
          </w:p>
        </w:tc>
        <w:tc>
          <w:tcPr>
            <w:tcW w:w="3180" w:type="dxa"/>
            <w:tcMar>
              <w:top w:w="0" w:type="dxa"/>
              <w:bottom w:w="0" w:type="dxa"/>
            </w:tcMar>
            <w:vAlign w:val="center"/>
          </w:tcPr>
          <w:p w:rsidR="005A6F60" w:rsidRDefault="00B31863">
            <w:pPr>
              <w:keepNext/>
              <w:keepLines/>
              <w:spacing w:after="0" w:line="240" w:lineRule="auto"/>
            </w:pPr>
            <w:r>
              <w:rPr>
                <w:sz w:val="18"/>
              </w:rPr>
              <w:t>Usluge tekućeg i investicijskog održavanja</w:t>
            </w:r>
          </w:p>
        </w:tc>
        <w:tc>
          <w:tcPr>
            <w:tcW w:w="700" w:type="dxa"/>
            <w:tcMar>
              <w:top w:w="0" w:type="dxa"/>
              <w:bottom w:w="0" w:type="dxa"/>
            </w:tcMar>
            <w:vAlign w:val="center"/>
          </w:tcPr>
          <w:p w:rsidR="005A6F60" w:rsidRDefault="00B31863">
            <w:pPr>
              <w:keepNext/>
              <w:keepLines/>
              <w:spacing w:after="0" w:line="240" w:lineRule="auto"/>
            </w:pPr>
            <w:r>
              <w:rPr>
                <w:sz w:val="18"/>
              </w:rPr>
              <w:t>3232</w:t>
            </w:r>
          </w:p>
        </w:tc>
        <w:tc>
          <w:tcPr>
            <w:tcW w:w="1860" w:type="dxa"/>
            <w:tcMar>
              <w:top w:w="0" w:type="dxa"/>
              <w:bottom w:w="0" w:type="dxa"/>
            </w:tcMar>
            <w:vAlign w:val="center"/>
          </w:tcPr>
          <w:p w:rsidR="005A6F60" w:rsidRDefault="00B31863">
            <w:pPr>
              <w:keepNext/>
              <w:keepLines/>
              <w:spacing w:after="0" w:line="240" w:lineRule="auto"/>
              <w:jc w:val="right"/>
            </w:pPr>
            <w:r>
              <w:rPr>
                <w:sz w:val="18"/>
              </w:rPr>
              <w:t>48.530,64</w:t>
            </w:r>
          </w:p>
        </w:tc>
        <w:tc>
          <w:tcPr>
            <w:tcW w:w="1860" w:type="dxa"/>
            <w:tcMar>
              <w:top w:w="0" w:type="dxa"/>
              <w:bottom w:w="0" w:type="dxa"/>
            </w:tcMar>
            <w:vAlign w:val="center"/>
          </w:tcPr>
          <w:p w:rsidR="005A6F60" w:rsidRDefault="00B31863">
            <w:pPr>
              <w:keepNext/>
              <w:keepLines/>
              <w:spacing w:after="0" w:line="240" w:lineRule="auto"/>
              <w:jc w:val="right"/>
            </w:pPr>
            <w:r>
              <w:rPr>
                <w:sz w:val="18"/>
              </w:rPr>
              <w:t>77.649,14</w:t>
            </w:r>
          </w:p>
        </w:tc>
        <w:tc>
          <w:tcPr>
            <w:tcW w:w="700" w:type="dxa"/>
            <w:tcMar>
              <w:top w:w="0" w:type="dxa"/>
              <w:bottom w:w="0" w:type="dxa"/>
            </w:tcMar>
            <w:vAlign w:val="center"/>
          </w:tcPr>
          <w:p w:rsidR="005A6F60" w:rsidRDefault="00B31863">
            <w:pPr>
              <w:keepNext/>
              <w:keepLines/>
              <w:spacing w:after="0" w:line="240" w:lineRule="auto"/>
              <w:jc w:val="right"/>
            </w:pPr>
            <w:r>
              <w:rPr>
                <w:sz w:val="18"/>
              </w:rPr>
              <w:t>160,0</w:t>
            </w:r>
          </w:p>
        </w:tc>
      </w:tr>
    </w:tbl>
    <w:p w:rsidR="005A6F60" w:rsidRDefault="005A6F60">
      <w:pPr>
        <w:spacing w:after="0"/>
      </w:pPr>
    </w:p>
    <w:p w:rsidR="005A6F60" w:rsidRDefault="00B31863">
      <w:r>
        <w:t>Rashodi za usluge tekućeg i investicijskog održavanja u odnosu na prošlu godinu veći su 60%, a odnose se na troškove tekućeg održavanja za zidarske popravke i molerske radove, sanaciju puknuća vodovodnih cijevi i servisiranje klima uređaja u prostorijama F</w:t>
      </w:r>
      <w:r>
        <w:t>akulteta.</w:t>
      </w:r>
    </w:p>
    <w:p w:rsidR="005A6F60" w:rsidRDefault="005A6F60"/>
    <w:p w:rsidR="005A6F60" w:rsidRDefault="00B31863">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3233</w:t>
            </w:r>
          </w:p>
        </w:tc>
        <w:tc>
          <w:tcPr>
            <w:tcW w:w="3180" w:type="dxa"/>
            <w:tcMar>
              <w:top w:w="0" w:type="dxa"/>
              <w:bottom w:w="0" w:type="dxa"/>
            </w:tcMar>
            <w:vAlign w:val="center"/>
          </w:tcPr>
          <w:p w:rsidR="005A6F60" w:rsidRDefault="00B31863">
            <w:pPr>
              <w:keepNext/>
              <w:keepLines/>
              <w:spacing w:after="0" w:line="240" w:lineRule="auto"/>
            </w:pPr>
            <w:r>
              <w:rPr>
                <w:sz w:val="18"/>
              </w:rPr>
              <w:t>Usluge promidžbe i informiranja</w:t>
            </w:r>
          </w:p>
        </w:tc>
        <w:tc>
          <w:tcPr>
            <w:tcW w:w="700" w:type="dxa"/>
            <w:tcMar>
              <w:top w:w="0" w:type="dxa"/>
              <w:bottom w:w="0" w:type="dxa"/>
            </w:tcMar>
            <w:vAlign w:val="center"/>
          </w:tcPr>
          <w:p w:rsidR="005A6F60" w:rsidRDefault="00B31863">
            <w:pPr>
              <w:keepNext/>
              <w:keepLines/>
              <w:spacing w:after="0" w:line="240" w:lineRule="auto"/>
            </w:pPr>
            <w:r>
              <w:rPr>
                <w:sz w:val="18"/>
              </w:rPr>
              <w:t>3233</w:t>
            </w:r>
          </w:p>
        </w:tc>
        <w:tc>
          <w:tcPr>
            <w:tcW w:w="1860" w:type="dxa"/>
            <w:tcMar>
              <w:top w:w="0" w:type="dxa"/>
              <w:bottom w:w="0" w:type="dxa"/>
            </w:tcMar>
            <w:vAlign w:val="center"/>
          </w:tcPr>
          <w:p w:rsidR="005A6F60" w:rsidRDefault="00B31863">
            <w:pPr>
              <w:keepNext/>
              <w:keepLines/>
              <w:spacing w:after="0" w:line="240" w:lineRule="auto"/>
              <w:jc w:val="right"/>
            </w:pPr>
            <w:r>
              <w:rPr>
                <w:sz w:val="18"/>
              </w:rPr>
              <w:t>23.081,43</w:t>
            </w:r>
          </w:p>
        </w:tc>
        <w:tc>
          <w:tcPr>
            <w:tcW w:w="1860" w:type="dxa"/>
            <w:tcMar>
              <w:top w:w="0" w:type="dxa"/>
              <w:bottom w:w="0" w:type="dxa"/>
            </w:tcMar>
            <w:vAlign w:val="center"/>
          </w:tcPr>
          <w:p w:rsidR="005A6F60" w:rsidRDefault="00B31863">
            <w:pPr>
              <w:keepNext/>
              <w:keepLines/>
              <w:spacing w:after="0" w:line="240" w:lineRule="auto"/>
              <w:jc w:val="right"/>
            </w:pPr>
            <w:r>
              <w:rPr>
                <w:sz w:val="18"/>
              </w:rPr>
              <w:t>44.948,98</w:t>
            </w:r>
          </w:p>
        </w:tc>
        <w:tc>
          <w:tcPr>
            <w:tcW w:w="700" w:type="dxa"/>
            <w:tcMar>
              <w:top w:w="0" w:type="dxa"/>
              <w:bottom w:w="0" w:type="dxa"/>
            </w:tcMar>
            <w:vAlign w:val="center"/>
          </w:tcPr>
          <w:p w:rsidR="005A6F60" w:rsidRDefault="00B31863">
            <w:pPr>
              <w:keepNext/>
              <w:keepLines/>
              <w:spacing w:after="0" w:line="240" w:lineRule="auto"/>
              <w:jc w:val="right"/>
            </w:pPr>
            <w:r>
              <w:rPr>
                <w:sz w:val="18"/>
              </w:rPr>
              <w:t>194,7</w:t>
            </w:r>
          </w:p>
        </w:tc>
      </w:tr>
    </w:tbl>
    <w:p w:rsidR="005A6F60" w:rsidRDefault="005A6F60">
      <w:pPr>
        <w:spacing w:after="0"/>
      </w:pPr>
    </w:p>
    <w:p w:rsidR="005A6F60" w:rsidRDefault="00B31863">
      <w:r>
        <w:t>Usluge promidžbe i informiranja povećanje u odnosu na prošlu godinu iznosi 94,7%, a odnosi se na troškove promidžbe za studentske skupove i radionice kojih je ove godine više u odnosu na prošlu godinu, te izradu promotivnih materijala sa novim logom za pot</w:t>
      </w:r>
      <w:r>
        <w:t>rebe Fakulteta.</w:t>
      </w:r>
    </w:p>
    <w:p w:rsidR="005A6F60" w:rsidRDefault="005A6F60"/>
    <w:p w:rsidR="005A6F60" w:rsidRDefault="00B31863">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3236</w:t>
            </w:r>
          </w:p>
        </w:tc>
        <w:tc>
          <w:tcPr>
            <w:tcW w:w="3180" w:type="dxa"/>
            <w:tcMar>
              <w:top w:w="0" w:type="dxa"/>
              <w:bottom w:w="0" w:type="dxa"/>
            </w:tcMar>
            <w:vAlign w:val="center"/>
          </w:tcPr>
          <w:p w:rsidR="005A6F60" w:rsidRDefault="00B31863">
            <w:pPr>
              <w:keepNext/>
              <w:keepLines/>
              <w:spacing w:after="0" w:line="240" w:lineRule="auto"/>
            </w:pPr>
            <w:r>
              <w:rPr>
                <w:sz w:val="18"/>
              </w:rPr>
              <w:t>Zdravstvene i veterinarske usluge</w:t>
            </w:r>
          </w:p>
        </w:tc>
        <w:tc>
          <w:tcPr>
            <w:tcW w:w="700" w:type="dxa"/>
            <w:tcMar>
              <w:top w:w="0" w:type="dxa"/>
              <w:bottom w:w="0" w:type="dxa"/>
            </w:tcMar>
            <w:vAlign w:val="center"/>
          </w:tcPr>
          <w:p w:rsidR="005A6F60" w:rsidRDefault="00B31863">
            <w:pPr>
              <w:keepNext/>
              <w:keepLines/>
              <w:spacing w:after="0" w:line="240" w:lineRule="auto"/>
            </w:pPr>
            <w:r>
              <w:rPr>
                <w:sz w:val="18"/>
              </w:rPr>
              <w:t>3236</w:t>
            </w:r>
          </w:p>
        </w:tc>
        <w:tc>
          <w:tcPr>
            <w:tcW w:w="1860" w:type="dxa"/>
            <w:tcMar>
              <w:top w:w="0" w:type="dxa"/>
              <w:bottom w:w="0" w:type="dxa"/>
            </w:tcMar>
            <w:vAlign w:val="center"/>
          </w:tcPr>
          <w:p w:rsidR="005A6F60" w:rsidRDefault="00B31863">
            <w:pPr>
              <w:keepNext/>
              <w:keepLines/>
              <w:spacing w:after="0" w:line="240" w:lineRule="auto"/>
              <w:jc w:val="right"/>
            </w:pPr>
            <w:r>
              <w:rPr>
                <w:sz w:val="18"/>
              </w:rPr>
              <w:t>35.190,30</w:t>
            </w:r>
          </w:p>
        </w:tc>
        <w:tc>
          <w:tcPr>
            <w:tcW w:w="1860" w:type="dxa"/>
            <w:tcMar>
              <w:top w:w="0" w:type="dxa"/>
              <w:bottom w:w="0" w:type="dxa"/>
            </w:tcMar>
            <w:vAlign w:val="center"/>
          </w:tcPr>
          <w:p w:rsidR="005A6F60" w:rsidRDefault="00B31863">
            <w:pPr>
              <w:keepNext/>
              <w:keepLines/>
              <w:spacing w:after="0" w:line="240" w:lineRule="auto"/>
              <w:jc w:val="right"/>
            </w:pPr>
            <w:r>
              <w:rPr>
                <w:sz w:val="18"/>
              </w:rPr>
              <w:t>28.807,11</w:t>
            </w:r>
          </w:p>
        </w:tc>
        <w:tc>
          <w:tcPr>
            <w:tcW w:w="700" w:type="dxa"/>
            <w:tcMar>
              <w:top w:w="0" w:type="dxa"/>
              <w:bottom w:w="0" w:type="dxa"/>
            </w:tcMar>
            <w:vAlign w:val="center"/>
          </w:tcPr>
          <w:p w:rsidR="005A6F60" w:rsidRDefault="00B31863">
            <w:pPr>
              <w:keepNext/>
              <w:keepLines/>
              <w:spacing w:after="0" w:line="240" w:lineRule="auto"/>
              <w:jc w:val="right"/>
            </w:pPr>
            <w:r>
              <w:rPr>
                <w:sz w:val="18"/>
              </w:rPr>
              <w:t>81,9</w:t>
            </w:r>
          </w:p>
        </w:tc>
      </w:tr>
    </w:tbl>
    <w:p w:rsidR="005A6F60" w:rsidRDefault="005A6F60">
      <w:pPr>
        <w:spacing w:after="0"/>
      </w:pPr>
    </w:p>
    <w:p w:rsidR="005A6F60" w:rsidRDefault="00B31863">
      <w:r>
        <w:t>Zdravstvene i veterinarske usluge u odnosu na prošlu godinu smanjenje od 18,1% koje se odnosi na laboratorijske usluge mikrobiološke analize u svrhu istraživanja. </w:t>
      </w:r>
    </w:p>
    <w:p w:rsidR="005A6F60" w:rsidRDefault="005A6F60"/>
    <w:p w:rsidR="005A6F60" w:rsidRDefault="00B31863">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w:t>
            </w:r>
            <w:r>
              <w:rPr>
                <w:b/>
                <w:sz w:val="18"/>
              </w:rPr>
              <w:t>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3237</w:t>
            </w:r>
          </w:p>
        </w:tc>
        <w:tc>
          <w:tcPr>
            <w:tcW w:w="3180" w:type="dxa"/>
            <w:tcMar>
              <w:top w:w="0" w:type="dxa"/>
              <w:bottom w:w="0" w:type="dxa"/>
            </w:tcMar>
            <w:vAlign w:val="center"/>
          </w:tcPr>
          <w:p w:rsidR="005A6F60" w:rsidRDefault="00B31863">
            <w:pPr>
              <w:keepNext/>
              <w:keepLines/>
              <w:spacing w:after="0" w:line="240" w:lineRule="auto"/>
            </w:pPr>
            <w:r>
              <w:rPr>
                <w:sz w:val="18"/>
              </w:rPr>
              <w:t>Intelektualne i osobne usluge</w:t>
            </w:r>
          </w:p>
        </w:tc>
        <w:tc>
          <w:tcPr>
            <w:tcW w:w="700" w:type="dxa"/>
            <w:tcMar>
              <w:top w:w="0" w:type="dxa"/>
              <w:bottom w:w="0" w:type="dxa"/>
            </w:tcMar>
            <w:vAlign w:val="center"/>
          </w:tcPr>
          <w:p w:rsidR="005A6F60" w:rsidRDefault="00B31863">
            <w:pPr>
              <w:keepNext/>
              <w:keepLines/>
              <w:spacing w:after="0" w:line="240" w:lineRule="auto"/>
            </w:pPr>
            <w:r>
              <w:rPr>
                <w:sz w:val="18"/>
              </w:rPr>
              <w:t>3237</w:t>
            </w:r>
          </w:p>
        </w:tc>
        <w:tc>
          <w:tcPr>
            <w:tcW w:w="1860" w:type="dxa"/>
            <w:tcMar>
              <w:top w:w="0" w:type="dxa"/>
              <w:bottom w:w="0" w:type="dxa"/>
            </w:tcMar>
            <w:vAlign w:val="center"/>
          </w:tcPr>
          <w:p w:rsidR="005A6F60" w:rsidRDefault="00B31863">
            <w:pPr>
              <w:keepNext/>
              <w:keepLines/>
              <w:spacing w:after="0" w:line="240" w:lineRule="auto"/>
              <w:jc w:val="right"/>
            </w:pPr>
            <w:r>
              <w:rPr>
                <w:sz w:val="18"/>
              </w:rPr>
              <w:t>543.759,69</w:t>
            </w:r>
          </w:p>
        </w:tc>
        <w:tc>
          <w:tcPr>
            <w:tcW w:w="1860" w:type="dxa"/>
            <w:tcMar>
              <w:top w:w="0" w:type="dxa"/>
              <w:bottom w:w="0" w:type="dxa"/>
            </w:tcMar>
            <w:vAlign w:val="center"/>
          </w:tcPr>
          <w:p w:rsidR="005A6F60" w:rsidRDefault="00B31863">
            <w:pPr>
              <w:keepNext/>
              <w:keepLines/>
              <w:spacing w:after="0" w:line="240" w:lineRule="auto"/>
              <w:jc w:val="right"/>
            </w:pPr>
            <w:r>
              <w:rPr>
                <w:sz w:val="18"/>
              </w:rPr>
              <w:t>512.324,34</w:t>
            </w:r>
          </w:p>
        </w:tc>
        <w:tc>
          <w:tcPr>
            <w:tcW w:w="700" w:type="dxa"/>
            <w:tcMar>
              <w:top w:w="0" w:type="dxa"/>
              <w:bottom w:w="0" w:type="dxa"/>
            </w:tcMar>
            <w:vAlign w:val="center"/>
          </w:tcPr>
          <w:p w:rsidR="005A6F60" w:rsidRDefault="00B31863">
            <w:pPr>
              <w:keepNext/>
              <w:keepLines/>
              <w:spacing w:after="0" w:line="240" w:lineRule="auto"/>
              <w:jc w:val="right"/>
            </w:pPr>
            <w:r>
              <w:rPr>
                <w:sz w:val="18"/>
              </w:rPr>
              <w:t>94,2</w:t>
            </w:r>
          </w:p>
        </w:tc>
      </w:tr>
    </w:tbl>
    <w:p w:rsidR="005A6F60" w:rsidRDefault="005A6F60">
      <w:pPr>
        <w:spacing w:after="0"/>
      </w:pPr>
    </w:p>
    <w:p w:rsidR="005A6F60" w:rsidRDefault="00B31863">
      <w:r>
        <w:t>Intelektualne i osobne usluge, smanjenje u odnosu na prošlu godinu za 5,8% koji se odnose na manje isplaćene troškove za ugovore o djelu vanjskim suradnicima za studij na engleskom i hrvatskom jeziku.</w:t>
      </w:r>
    </w:p>
    <w:p w:rsidR="005A6F60" w:rsidRDefault="005A6F60"/>
    <w:p w:rsidR="005A6F60" w:rsidRDefault="00B31863">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w:t>
            </w:r>
            <w:r>
              <w:rPr>
                <w:b/>
                <w:sz w:val="18"/>
              </w:rPr>
              <w: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3238</w:t>
            </w:r>
          </w:p>
        </w:tc>
        <w:tc>
          <w:tcPr>
            <w:tcW w:w="3180" w:type="dxa"/>
            <w:tcMar>
              <w:top w:w="0" w:type="dxa"/>
              <w:bottom w:w="0" w:type="dxa"/>
            </w:tcMar>
            <w:vAlign w:val="center"/>
          </w:tcPr>
          <w:p w:rsidR="005A6F60" w:rsidRDefault="00B31863">
            <w:pPr>
              <w:keepNext/>
              <w:keepLines/>
              <w:spacing w:after="0" w:line="240" w:lineRule="auto"/>
            </w:pPr>
            <w:r>
              <w:rPr>
                <w:sz w:val="18"/>
              </w:rPr>
              <w:t>Računalne usluge</w:t>
            </w:r>
          </w:p>
        </w:tc>
        <w:tc>
          <w:tcPr>
            <w:tcW w:w="700" w:type="dxa"/>
            <w:tcMar>
              <w:top w:w="0" w:type="dxa"/>
              <w:bottom w:w="0" w:type="dxa"/>
            </w:tcMar>
            <w:vAlign w:val="center"/>
          </w:tcPr>
          <w:p w:rsidR="005A6F60" w:rsidRDefault="00B31863">
            <w:pPr>
              <w:keepNext/>
              <w:keepLines/>
              <w:spacing w:after="0" w:line="240" w:lineRule="auto"/>
            </w:pPr>
            <w:r>
              <w:rPr>
                <w:sz w:val="18"/>
              </w:rPr>
              <w:t>3238</w:t>
            </w:r>
          </w:p>
        </w:tc>
        <w:tc>
          <w:tcPr>
            <w:tcW w:w="1860" w:type="dxa"/>
            <w:tcMar>
              <w:top w:w="0" w:type="dxa"/>
              <w:bottom w:w="0" w:type="dxa"/>
            </w:tcMar>
            <w:vAlign w:val="center"/>
          </w:tcPr>
          <w:p w:rsidR="005A6F60" w:rsidRDefault="00B31863">
            <w:pPr>
              <w:keepNext/>
              <w:keepLines/>
              <w:spacing w:after="0" w:line="240" w:lineRule="auto"/>
              <w:jc w:val="right"/>
            </w:pPr>
            <w:r>
              <w:rPr>
                <w:sz w:val="18"/>
              </w:rPr>
              <w:t>30.089,05</w:t>
            </w:r>
          </w:p>
        </w:tc>
        <w:tc>
          <w:tcPr>
            <w:tcW w:w="1860" w:type="dxa"/>
            <w:tcMar>
              <w:top w:w="0" w:type="dxa"/>
              <w:bottom w:w="0" w:type="dxa"/>
            </w:tcMar>
            <w:vAlign w:val="center"/>
          </w:tcPr>
          <w:p w:rsidR="005A6F60" w:rsidRDefault="00B31863">
            <w:pPr>
              <w:keepNext/>
              <w:keepLines/>
              <w:spacing w:after="0" w:line="240" w:lineRule="auto"/>
              <w:jc w:val="right"/>
            </w:pPr>
            <w:r>
              <w:rPr>
                <w:sz w:val="18"/>
              </w:rPr>
              <w:t>51.948,85</w:t>
            </w:r>
          </w:p>
        </w:tc>
        <w:tc>
          <w:tcPr>
            <w:tcW w:w="700" w:type="dxa"/>
            <w:tcMar>
              <w:top w:w="0" w:type="dxa"/>
              <w:bottom w:w="0" w:type="dxa"/>
            </w:tcMar>
            <w:vAlign w:val="center"/>
          </w:tcPr>
          <w:p w:rsidR="005A6F60" w:rsidRDefault="00B31863">
            <w:pPr>
              <w:keepNext/>
              <w:keepLines/>
              <w:spacing w:after="0" w:line="240" w:lineRule="auto"/>
              <w:jc w:val="right"/>
            </w:pPr>
            <w:r>
              <w:rPr>
                <w:sz w:val="18"/>
              </w:rPr>
              <w:t>172,7</w:t>
            </w:r>
          </w:p>
        </w:tc>
      </w:tr>
    </w:tbl>
    <w:p w:rsidR="005A6F60" w:rsidRDefault="005A6F60">
      <w:pPr>
        <w:spacing w:after="0"/>
      </w:pPr>
    </w:p>
    <w:p w:rsidR="005A6F60" w:rsidRDefault="00B31863">
      <w:r>
        <w:t>Računalne usluge veće su za 72,7%, a odnose se za novo ugovorenu uslugu korištenja cloud servera, i održavanja novog web urudžbenog zapisnika s ciljem digitalizacije poslovanja.</w:t>
      </w:r>
    </w:p>
    <w:p w:rsidR="005A6F60" w:rsidRDefault="005A6F60"/>
    <w:p w:rsidR="005A6F60" w:rsidRDefault="00B31863">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w:t>
            </w:r>
            <w:r>
              <w:rPr>
                <w:b/>
                <w:sz w:val="18"/>
              </w:rPr>
              <w:t>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3239</w:t>
            </w:r>
          </w:p>
        </w:tc>
        <w:tc>
          <w:tcPr>
            <w:tcW w:w="3180" w:type="dxa"/>
            <w:tcMar>
              <w:top w:w="0" w:type="dxa"/>
              <w:bottom w:w="0" w:type="dxa"/>
            </w:tcMar>
            <w:vAlign w:val="center"/>
          </w:tcPr>
          <w:p w:rsidR="005A6F60" w:rsidRDefault="00B31863">
            <w:pPr>
              <w:keepNext/>
              <w:keepLines/>
              <w:spacing w:after="0" w:line="240" w:lineRule="auto"/>
            </w:pPr>
            <w:r>
              <w:rPr>
                <w:sz w:val="18"/>
              </w:rPr>
              <w:t>Ostale usluge</w:t>
            </w:r>
          </w:p>
        </w:tc>
        <w:tc>
          <w:tcPr>
            <w:tcW w:w="700" w:type="dxa"/>
            <w:tcMar>
              <w:top w:w="0" w:type="dxa"/>
              <w:bottom w:w="0" w:type="dxa"/>
            </w:tcMar>
            <w:vAlign w:val="center"/>
          </w:tcPr>
          <w:p w:rsidR="005A6F60" w:rsidRDefault="00B31863">
            <w:pPr>
              <w:keepNext/>
              <w:keepLines/>
              <w:spacing w:after="0" w:line="240" w:lineRule="auto"/>
            </w:pPr>
            <w:r>
              <w:rPr>
                <w:sz w:val="18"/>
              </w:rPr>
              <w:t>3239</w:t>
            </w:r>
          </w:p>
        </w:tc>
        <w:tc>
          <w:tcPr>
            <w:tcW w:w="1860" w:type="dxa"/>
            <w:tcMar>
              <w:top w:w="0" w:type="dxa"/>
              <w:bottom w:w="0" w:type="dxa"/>
            </w:tcMar>
            <w:vAlign w:val="center"/>
          </w:tcPr>
          <w:p w:rsidR="005A6F60" w:rsidRDefault="00B31863">
            <w:pPr>
              <w:keepNext/>
              <w:keepLines/>
              <w:spacing w:after="0" w:line="240" w:lineRule="auto"/>
              <w:jc w:val="right"/>
            </w:pPr>
            <w:r>
              <w:rPr>
                <w:sz w:val="18"/>
              </w:rPr>
              <w:t>43.280,68</w:t>
            </w:r>
          </w:p>
        </w:tc>
        <w:tc>
          <w:tcPr>
            <w:tcW w:w="1860" w:type="dxa"/>
            <w:tcMar>
              <w:top w:w="0" w:type="dxa"/>
              <w:bottom w:w="0" w:type="dxa"/>
            </w:tcMar>
            <w:vAlign w:val="center"/>
          </w:tcPr>
          <w:p w:rsidR="005A6F60" w:rsidRDefault="00B31863">
            <w:pPr>
              <w:keepNext/>
              <w:keepLines/>
              <w:spacing w:after="0" w:line="240" w:lineRule="auto"/>
              <w:jc w:val="right"/>
            </w:pPr>
            <w:r>
              <w:rPr>
                <w:sz w:val="18"/>
              </w:rPr>
              <w:t>41.191,36</w:t>
            </w:r>
          </w:p>
        </w:tc>
        <w:tc>
          <w:tcPr>
            <w:tcW w:w="700" w:type="dxa"/>
            <w:tcMar>
              <w:top w:w="0" w:type="dxa"/>
              <w:bottom w:w="0" w:type="dxa"/>
            </w:tcMar>
            <w:vAlign w:val="center"/>
          </w:tcPr>
          <w:p w:rsidR="005A6F60" w:rsidRDefault="00B31863">
            <w:pPr>
              <w:keepNext/>
              <w:keepLines/>
              <w:spacing w:after="0" w:line="240" w:lineRule="auto"/>
              <w:jc w:val="right"/>
            </w:pPr>
            <w:r>
              <w:rPr>
                <w:sz w:val="18"/>
              </w:rPr>
              <w:t>95,2</w:t>
            </w:r>
          </w:p>
        </w:tc>
      </w:tr>
    </w:tbl>
    <w:p w:rsidR="005A6F60" w:rsidRDefault="005A6F60">
      <w:pPr>
        <w:spacing w:after="0"/>
      </w:pPr>
    </w:p>
    <w:p w:rsidR="005A6F60" w:rsidRDefault="00B31863">
      <w:r>
        <w:t>Ostale usluge manje su za 4,8%, smanjenje se odnosi na tiskarske usluge za tisak kontrolnika i diploma.</w:t>
      </w:r>
    </w:p>
    <w:p w:rsidR="005A6F60" w:rsidRDefault="005A6F60"/>
    <w:p w:rsidR="005A6F60" w:rsidRDefault="00B31863">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324</w:t>
            </w:r>
          </w:p>
        </w:tc>
        <w:tc>
          <w:tcPr>
            <w:tcW w:w="3180" w:type="dxa"/>
            <w:tcMar>
              <w:top w:w="0" w:type="dxa"/>
              <w:bottom w:w="0" w:type="dxa"/>
            </w:tcMar>
            <w:vAlign w:val="center"/>
          </w:tcPr>
          <w:p w:rsidR="005A6F60" w:rsidRDefault="00B31863">
            <w:pPr>
              <w:keepNext/>
              <w:keepLines/>
              <w:spacing w:after="0" w:line="240" w:lineRule="auto"/>
            </w:pPr>
            <w:r>
              <w:rPr>
                <w:sz w:val="18"/>
              </w:rPr>
              <w:t>Naknade troškova osobama izvan radnog odnosa</w:t>
            </w:r>
          </w:p>
        </w:tc>
        <w:tc>
          <w:tcPr>
            <w:tcW w:w="700" w:type="dxa"/>
            <w:tcMar>
              <w:top w:w="0" w:type="dxa"/>
              <w:bottom w:w="0" w:type="dxa"/>
            </w:tcMar>
            <w:vAlign w:val="center"/>
          </w:tcPr>
          <w:p w:rsidR="005A6F60" w:rsidRDefault="00B31863">
            <w:pPr>
              <w:keepNext/>
              <w:keepLines/>
              <w:spacing w:after="0" w:line="240" w:lineRule="auto"/>
            </w:pPr>
            <w:r>
              <w:rPr>
                <w:sz w:val="18"/>
              </w:rPr>
              <w:t>324</w:t>
            </w:r>
          </w:p>
        </w:tc>
        <w:tc>
          <w:tcPr>
            <w:tcW w:w="1860" w:type="dxa"/>
            <w:tcMar>
              <w:top w:w="0" w:type="dxa"/>
              <w:bottom w:w="0" w:type="dxa"/>
            </w:tcMar>
            <w:vAlign w:val="center"/>
          </w:tcPr>
          <w:p w:rsidR="005A6F60" w:rsidRDefault="00B31863">
            <w:pPr>
              <w:keepNext/>
              <w:keepLines/>
              <w:spacing w:after="0" w:line="240" w:lineRule="auto"/>
              <w:jc w:val="right"/>
            </w:pPr>
            <w:r>
              <w:rPr>
                <w:sz w:val="18"/>
              </w:rPr>
              <w:t>37.213,08</w:t>
            </w:r>
          </w:p>
        </w:tc>
        <w:tc>
          <w:tcPr>
            <w:tcW w:w="1860" w:type="dxa"/>
            <w:tcMar>
              <w:top w:w="0" w:type="dxa"/>
              <w:bottom w:w="0" w:type="dxa"/>
            </w:tcMar>
            <w:vAlign w:val="center"/>
          </w:tcPr>
          <w:p w:rsidR="005A6F60" w:rsidRDefault="00B31863">
            <w:pPr>
              <w:keepNext/>
              <w:keepLines/>
              <w:spacing w:after="0" w:line="240" w:lineRule="auto"/>
              <w:jc w:val="right"/>
            </w:pPr>
            <w:r>
              <w:rPr>
                <w:sz w:val="18"/>
              </w:rPr>
              <w:t>51.446,18</w:t>
            </w:r>
          </w:p>
        </w:tc>
        <w:tc>
          <w:tcPr>
            <w:tcW w:w="700" w:type="dxa"/>
            <w:tcMar>
              <w:top w:w="0" w:type="dxa"/>
              <w:bottom w:w="0" w:type="dxa"/>
            </w:tcMar>
            <w:vAlign w:val="center"/>
          </w:tcPr>
          <w:p w:rsidR="005A6F60" w:rsidRDefault="00B31863">
            <w:pPr>
              <w:keepNext/>
              <w:keepLines/>
              <w:spacing w:after="0" w:line="240" w:lineRule="auto"/>
              <w:jc w:val="right"/>
            </w:pPr>
            <w:r>
              <w:rPr>
                <w:sz w:val="18"/>
              </w:rPr>
              <w:t>138,2</w:t>
            </w:r>
          </w:p>
        </w:tc>
      </w:tr>
    </w:tbl>
    <w:p w:rsidR="005A6F60" w:rsidRDefault="005A6F60">
      <w:pPr>
        <w:spacing w:after="0"/>
      </w:pPr>
    </w:p>
    <w:p w:rsidR="005A6F60" w:rsidRDefault="00B31863">
      <w:r>
        <w:t>Naknade troškova osobama izvan radnog odnosa su veće za 38,2%, većina troškova odnosi se na troškove za organizaciju studentskih skupova.</w:t>
      </w:r>
    </w:p>
    <w:p w:rsidR="005A6F60" w:rsidRDefault="005A6F60"/>
    <w:p w:rsidR="005A6F60" w:rsidRDefault="00B31863">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w:t>
            </w:r>
            <w:r>
              <w:rPr>
                <w:b/>
                <w:sz w:val="18"/>
              </w:rPr>
              <w:t>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3292</w:t>
            </w:r>
          </w:p>
        </w:tc>
        <w:tc>
          <w:tcPr>
            <w:tcW w:w="3180" w:type="dxa"/>
            <w:tcMar>
              <w:top w:w="0" w:type="dxa"/>
              <w:bottom w:w="0" w:type="dxa"/>
            </w:tcMar>
            <w:vAlign w:val="center"/>
          </w:tcPr>
          <w:p w:rsidR="005A6F60" w:rsidRDefault="00B31863">
            <w:pPr>
              <w:keepNext/>
              <w:keepLines/>
              <w:spacing w:after="0" w:line="240" w:lineRule="auto"/>
            </w:pPr>
            <w:r>
              <w:rPr>
                <w:sz w:val="18"/>
              </w:rPr>
              <w:t>Premije osiguranja</w:t>
            </w:r>
          </w:p>
        </w:tc>
        <w:tc>
          <w:tcPr>
            <w:tcW w:w="700" w:type="dxa"/>
            <w:tcMar>
              <w:top w:w="0" w:type="dxa"/>
              <w:bottom w:w="0" w:type="dxa"/>
            </w:tcMar>
            <w:vAlign w:val="center"/>
          </w:tcPr>
          <w:p w:rsidR="005A6F60" w:rsidRDefault="00B31863">
            <w:pPr>
              <w:keepNext/>
              <w:keepLines/>
              <w:spacing w:after="0" w:line="240" w:lineRule="auto"/>
            </w:pPr>
            <w:r>
              <w:rPr>
                <w:sz w:val="18"/>
              </w:rPr>
              <w:t>3292</w:t>
            </w:r>
          </w:p>
        </w:tc>
        <w:tc>
          <w:tcPr>
            <w:tcW w:w="1860" w:type="dxa"/>
            <w:tcMar>
              <w:top w:w="0" w:type="dxa"/>
              <w:bottom w:w="0" w:type="dxa"/>
            </w:tcMar>
            <w:vAlign w:val="center"/>
          </w:tcPr>
          <w:p w:rsidR="005A6F60" w:rsidRDefault="00B31863">
            <w:pPr>
              <w:keepNext/>
              <w:keepLines/>
              <w:spacing w:after="0" w:line="240" w:lineRule="auto"/>
              <w:jc w:val="right"/>
            </w:pPr>
            <w:r>
              <w:rPr>
                <w:sz w:val="18"/>
              </w:rPr>
              <w:t>10.234,21</w:t>
            </w:r>
          </w:p>
        </w:tc>
        <w:tc>
          <w:tcPr>
            <w:tcW w:w="1860" w:type="dxa"/>
            <w:tcMar>
              <w:top w:w="0" w:type="dxa"/>
              <w:bottom w:w="0" w:type="dxa"/>
            </w:tcMar>
            <w:vAlign w:val="center"/>
          </w:tcPr>
          <w:p w:rsidR="005A6F60" w:rsidRDefault="00B31863">
            <w:pPr>
              <w:keepNext/>
              <w:keepLines/>
              <w:spacing w:after="0" w:line="240" w:lineRule="auto"/>
              <w:jc w:val="right"/>
            </w:pPr>
            <w:r>
              <w:rPr>
                <w:sz w:val="18"/>
              </w:rPr>
              <w:t>6.737,06</w:t>
            </w:r>
          </w:p>
        </w:tc>
        <w:tc>
          <w:tcPr>
            <w:tcW w:w="700" w:type="dxa"/>
            <w:tcMar>
              <w:top w:w="0" w:type="dxa"/>
              <w:bottom w:w="0" w:type="dxa"/>
            </w:tcMar>
            <w:vAlign w:val="center"/>
          </w:tcPr>
          <w:p w:rsidR="005A6F60" w:rsidRDefault="00B31863">
            <w:pPr>
              <w:keepNext/>
              <w:keepLines/>
              <w:spacing w:after="0" w:line="240" w:lineRule="auto"/>
              <w:jc w:val="right"/>
            </w:pPr>
            <w:r>
              <w:rPr>
                <w:sz w:val="18"/>
              </w:rPr>
              <w:t>65,8</w:t>
            </w:r>
          </w:p>
        </w:tc>
      </w:tr>
    </w:tbl>
    <w:p w:rsidR="005A6F60" w:rsidRDefault="005A6F60">
      <w:pPr>
        <w:spacing w:after="0"/>
      </w:pPr>
    </w:p>
    <w:p w:rsidR="005A6F60" w:rsidRDefault="00B31863">
      <w:r>
        <w:t>Troškovi premije osiguranja manji su za 34,2% u odnosu na prošlu godinu jer smo ove godine osigurali manji broj studenata.</w:t>
      </w:r>
    </w:p>
    <w:p w:rsidR="005A6F60" w:rsidRDefault="005A6F60"/>
    <w:p w:rsidR="005A6F60" w:rsidRDefault="00B31863">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 xml:space="preserve">Račun iz rač. </w:t>
            </w:r>
            <w:r>
              <w:rPr>
                <w:b/>
                <w:sz w:val="18"/>
              </w:rPr>
              <w:t>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3294</w:t>
            </w:r>
          </w:p>
        </w:tc>
        <w:tc>
          <w:tcPr>
            <w:tcW w:w="3180" w:type="dxa"/>
            <w:tcMar>
              <w:top w:w="0" w:type="dxa"/>
              <w:bottom w:w="0" w:type="dxa"/>
            </w:tcMar>
            <w:vAlign w:val="center"/>
          </w:tcPr>
          <w:p w:rsidR="005A6F60" w:rsidRDefault="00B31863">
            <w:pPr>
              <w:keepNext/>
              <w:keepLines/>
              <w:spacing w:after="0" w:line="240" w:lineRule="auto"/>
            </w:pPr>
            <w:r>
              <w:rPr>
                <w:sz w:val="18"/>
              </w:rPr>
              <w:t>Članarine i norme</w:t>
            </w:r>
          </w:p>
        </w:tc>
        <w:tc>
          <w:tcPr>
            <w:tcW w:w="700" w:type="dxa"/>
            <w:tcMar>
              <w:top w:w="0" w:type="dxa"/>
              <w:bottom w:w="0" w:type="dxa"/>
            </w:tcMar>
            <w:vAlign w:val="center"/>
          </w:tcPr>
          <w:p w:rsidR="005A6F60" w:rsidRDefault="00B31863">
            <w:pPr>
              <w:keepNext/>
              <w:keepLines/>
              <w:spacing w:after="0" w:line="240" w:lineRule="auto"/>
            </w:pPr>
            <w:r>
              <w:rPr>
                <w:sz w:val="18"/>
              </w:rPr>
              <w:t>3294</w:t>
            </w:r>
          </w:p>
        </w:tc>
        <w:tc>
          <w:tcPr>
            <w:tcW w:w="1860" w:type="dxa"/>
            <w:tcMar>
              <w:top w:w="0" w:type="dxa"/>
              <w:bottom w:w="0" w:type="dxa"/>
            </w:tcMar>
            <w:vAlign w:val="center"/>
          </w:tcPr>
          <w:p w:rsidR="005A6F60" w:rsidRDefault="00B31863">
            <w:pPr>
              <w:keepNext/>
              <w:keepLines/>
              <w:spacing w:after="0" w:line="240" w:lineRule="auto"/>
              <w:jc w:val="right"/>
            </w:pPr>
            <w:r>
              <w:rPr>
                <w:sz w:val="18"/>
              </w:rPr>
              <w:t>4.822,39</w:t>
            </w:r>
          </w:p>
        </w:tc>
        <w:tc>
          <w:tcPr>
            <w:tcW w:w="1860" w:type="dxa"/>
            <w:tcMar>
              <w:top w:w="0" w:type="dxa"/>
              <w:bottom w:w="0" w:type="dxa"/>
            </w:tcMar>
            <w:vAlign w:val="center"/>
          </w:tcPr>
          <w:p w:rsidR="005A6F60" w:rsidRDefault="00B31863">
            <w:pPr>
              <w:keepNext/>
              <w:keepLines/>
              <w:spacing w:after="0" w:line="240" w:lineRule="auto"/>
              <w:jc w:val="right"/>
            </w:pPr>
            <w:r>
              <w:rPr>
                <w:sz w:val="18"/>
              </w:rPr>
              <w:t>6.366,89</w:t>
            </w:r>
          </w:p>
        </w:tc>
        <w:tc>
          <w:tcPr>
            <w:tcW w:w="700" w:type="dxa"/>
            <w:tcMar>
              <w:top w:w="0" w:type="dxa"/>
              <w:bottom w:w="0" w:type="dxa"/>
            </w:tcMar>
            <w:vAlign w:val="center"/>
          </w:tcPr>
          <w:p w:rsidR="005A6F60" w:rsidRDefault="00B31863">
            <w:pPr>
              <w:keepNext/>
              <w:keepLines/>
              <w:spacing w:after="0" w:line="240" w:lineRule="auto"/>
              <w:jc w:val="right"/>
            </w:pPr>
            <w:r>
              <w:rPr>
                <w:sz w:val="18"/>
              </w:rPr>
              <w:t>132,0</w:t>
            </w:r>
          </w:p>
        </w:tc>
      </w:tr>
    </w:tbl>
    <w:p w:rsidR="005A6F60" w:rsidRDefault="005A6F60">
      <w:pPr>
        <w:spacing w:after="0"/>
      </w:pPr>
    </w:p>
    <w:p w:rsidR="005A6F60" w:rsidRDefault="00B31863">
      <w:r>
        <w:t>Troškovi za članarine su veći za 32%, a odnose se na više plaćene članarine međunarodnim društvima.</w:t>
      </w:r>
    </w:p>
    <w:p w:rsidR="005A6F60" w:rsidRDefault="005A6F60"/>
    <w:p w:rsidR="005A6F60" w:rsidRDefault="00B31863">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w:t>
            </w:r>
            <w:r>
              <w:rPr>
                <w:b/>
                <w:sz w:val="18"/>
              </w:rPr>
              <w:t>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3295</w:t>
            </w:r>
          </w:p>
        </w:tc>
        <w:tc>
          <w:tcPr>
            <w:tcW w:w="3180" w:type="dxa"/>
            <w:tcMar>
              <w:top w:w="0" w:type="dxa"/>
              <w:bottom w:w="0" w:type="dxa"/>
            </w:tcMar>
            <w:vAlign w:val="center"/>
          </w:tcPr>
          <w:p w:rsidR="005A6F60" w:rsidRDefault="00B31863">
            <w:pPr>
              <w:keepNext/>
              <w:keepLines/>
              <w:spacing w:after="0" w:line="240" w:lineRule="auto"/>
            </w:pPr>
            <w:r>
              <w:rPr>
                <w:sz w:val="18"/>
              </w:rPr>
              <w:t>Pristojbe i naknade</w:t>
            </w:r>
          </w:p>
        </w:tc>
        <w:tc>
          <w:tcPr>
            <w:tcW w:w="700" w:type="dxa"/>
            <w:tcMar>
              <w:top w:w="0" w:type="dxa"/>
              <w:bottom w:w="0" w:type="dxa"/>
            </w:tcMar>
            <w:vAlign w:val="center"/>
          </w:tcPr>
          <w:p w:rsidR="005A6F60" w:rsidRDefault="00B31863">
            <w:pPr>
              <w:keepNext/>
              <w:keepLines/>
              <w:spacing w:after="0" w:line="240" w:lineRule="auto"/>
            </w:pPr>
            <w:r>
              <w:rPr>
                <w:sz w:val="18"/>
              </w:rPr>
              <w:t>3295</w:t>
            </w:r>
          </w:p>
        </w:tc>
        <w:tc>
          <w:tcPr>
            <w:tcW w:w="1860" w:type="dxa"/>
            <w:tcMar>
              <w:top w:w="0" w:type="dxa"/>
              <w:bottom w:w="0" w:type="dxa"/>
            </w:tcMar>
            <w:vAlign w:val="center"/>
          </w:tcPr>
          <w:p w:rsidR="005A6F60" w:rsidRDefault="00B31863">
            <w:pPr>
              <w:keepNext/>
              <w:keepLines/>
              <w:spacing w:after="0" w:line="240" w:lineRule="auto"/>
              <w:jc w:val="right"/>
            </w:pPr>
            <w:r>
              <w:rPr>
                <w:sz w:val="18"/>
              </w:rPr>
              <w:t>6.911,81</w:t>
            </w:r>
          </w:p>
        </w:tc>
        <w:tc>
          <w:tcPr>
            <w:tcW w:w="1860" w:type="dxa"/>
            <w:tcMar>
              <w:top w:w="0" w:type="dxa"/>
              <w:bottom w:w="0" w:type="dxa"/>
            </w:tcMar>
            <w:vAlign w:val="center"/>
          </w:tcPr>
          <w:p w:rsidR="005A6F60" w:rsidRDefault="00B31863">
            <w:pPr>
              <w:keepNext/>
              <w:keepLines/>
              <w:spacing w:after="0" w:line="240" w:lineRule="auto"/>
              <w:jc w:val="right"/>
            </w:pPr>
            <w:r>
              <w:rPr>
                <w:sz w:val="18"/>
              </w:rPr>
              <w:t>4.849,44</w:t>
            </w:r>
          </w:p>
        </w:tc>
        <w:tc>
          <w:tcPr>
            <w:tcW w:w="700" w:type="dxa"/>
            <w:tcMar>
              <w:top w:w="0" w:type="dxa"/>
              <w:bottom w:w="0" w:type="dxa"/>
            </w:tcMar>
            <w:vAlign w:val="center"/>
          </w:tcPr>
          <w:p w:rsidR="005A6F60" w:rsidRDefault="00B31863">
            <w:pPr>
              <w:keepNext/>
              <w:keepLines/>
              <w:spacing w:after="0" w:line="240" w:lineRule="auto"/>
              <w:jc w:val="right"/>
            </w:pPr>
            <w:r>
              <w:rPr>
                <w:sz w:val="18"/>
              </w:rPr>
              <w:t>70,2</w:t>
            </w:r>
          </w:p>
        </w:tc>
      </w:tr>
    </w:tbl>
    <w:p w:rsidR="005A6F60" w:rsidRDefault="005A6F60">
      <w:pPr>
        <w:spacing w:after="0"/>
      </w:pPr>
    </w:p>
    <w:p w:rsidR="005A6F60" w:rsidRDefault="00B31863">
      <w:r>
        <w:t>Troškovi za pristojbe i naknade su manji za 29,8%, a odnose se na smanjenje za obvezu plaćanja troška za novčanu naknadu poslodavca zbog nezapošljavanja osoba s invaliditetom radi zapošljavanja osobe sa invaliditetom.</w:t>
      </w:r>
    </w:p>
    <w:p w:rsidR="005A6F60" w:rsidRDefault="005A6F60"/>
    <w:p w:rsidR="005A6F60" w:rsidRDefault="00B31863">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w:t>
            </w:r>
            <w:r>
              <w:rPr>
                <w:b/>
                <w:sz w:val="18"/>
              </w:rPr>
              <w:t xml:space="preserve">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3296</w:t>
            </w:r>
          </w:p>
        </w:tc>
        <w:tc>
          <w:tcPr>
            <w:tcW w:w="3180" w:type="dxa"/>
            <w:tcMar>
              <w:top w:w="0" w:type="dxa"/>
              <w:bottom w:w="0" w:type="dxa"/>
            </w:tcMar>
            <w:vAlign w:val="center"/>
          </w:tcPr>
          <w:p w:rsidR="005A6F60" w:rsidRDefault="00B31863">
            <w:pPr>
              <w:keepNext/>
              <w:keepLines/>
              <w:spacing w:after="0" w:line="240" w:lineRule="auto"/>
            </w:pPr>
            <w:r>
              <w:rPr>
                <w:sz w:val="18"/>
              </w:rPr>
              <w:t>Troškovi sudskih postupaka</w:t>
            </w:r>
          </w:p>
        </w:tc>
        <w:tc>
          <w:tcPr>
            <w:tcW w:w="700" w:type="dxa"/>
            <w:tcMar>
              <w:top w:w="0" w:type="dxa"/>
              <w:bottom w:w="0" w:type="dxa"/>
            </w:tcMar>
            <w:vAlign w:val="center"/>
          </w:tcPr>
          <w:p w:rsidR="005A6F60" w:rsidRDefault="00B31863">
            <w:pPr>
              <w:keepNext/>
              <w:keepLines/>
              <w:spacing w:after="0" w:line="240" w:lineRule="auto"/>
            </w:pPr>
            <w:r>
              <w:rPr>
                <w:sz w:val="18"/>
              </w:rPr>
              <w:t>3296</w:t>
            </w:r>
          </w:p>
        </w:tc>
        <w:tc>
          <w:tcPr>
            <w:tcW w:w="1860" w:type="dxa"/>
            <w:tcMar>
              <w:top w:w="0" w:type="dxa"/>
              <w:bottom w:w="0" w:type="dxa"/>
            </w:tcMar>
            <w:vAlign w:val="center"/>
          </w:tcPr>
          <w:p w:rsidR="005A6F60" w:rsidRDefault="00B31863">
            <w:pPr>
              <w:keepNext/>
              <w:keepLines/>
              <w:spacing w:after="0" w:line="240" w:lineRule="auto"/>
              <w:jc w:val="right"/>
            </w:pPr>
            <w:r>
              <w:rPr>
                <w:sz w:val="18"/>
              </w:rPr>
              <w:t>10.619,15</w:t>
            </w:r>
          </w:p>
        </w:tc>
        <w:tc>
          <w:tcPr>
            <w:tcW w:w="1860" w:type="dxa"/>
            <w:tcMar>
              <w:top w:w="0" w:type="dxa"/>
              <w:bottom w:w="0" w:type="dxa"/>
            </w:tcMar>
            <w:vAlign w:val="center"/>
          </w:tcPr>
          <w:p w:rsidR="005A6F60" w:rsidRDefault="00B31863">
            <w:pPr>
              <w:keepNext/>
              <w:keepLines/>
              <w:spacing w:after="0" w:line="240" w:lineRule="auto"/>
              <w:jc w:val="right"/>
            </w:pPr>
            <w:r>
              <w:rPr>
                <w:sz w:val="18"/>
              </w:rPr>
              <w:t>30,00</w:t>
            </w:r>
          </w:p>
        </w:tc>
        <w:tc>
          <w:tcPr>
            <w:tcW w:w="700" w:type="dxa"/>
            <w:tcMar>
              <w:top w:w="0" w:type="dxa"/>
              <w:bottom w:w="0" w:type="dxa"/>
            </w:tcMar>
            <w:vAlign w:val="center"/>
          </w:tcPr>
          <w:p w:rsidR="005A6F60" w:rsidRDefault="00B31863">
            <w:pPr>
              <w:keepNext/>
              <w:keepLines/>
              <w:spacing w:after="0" w:line="240" w:lineRule="auto"/>
              <w:jc w:val="right"/>
            </w:pPr>
            <w:r>
              <w:rPr>
                <w:sz w:val="18"/>
              </w:rPr>
              <w:t>0,3</w:t>
            </w:r>
          </w:p>
        </w:tc>
      </w:tr>
    </w:tbl>
    <w:p w:rsidR="005A6F60" w:rsidRDefault="005A6F60">
      <w:pPr>
        <w:spacing w:after="0"/>
      </w:pPr>
    </w:p>
    <w:p w:rsidR="005A6F60" w:rsidRDefault="00B31863">
      <w:r>
        <w:t>Troškovi sudskih postupaka odnose se na parnične troškove kojih ove godine nismo imali u odnosu na prošlu godinu u istom razdoblju, a nastali su radi isplate razlike plaće u visini 6% na temelju pravomoćne sudske presude u javnim službama.</w:t>
      </w:r>
    </w:p>
    <w:p w:rsidR="005A6F60" w:rsidRDefault="005A6F60"/>
    <w:p w:rsidR="005A6F60" w:rsidRDefault="00B31863">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w:t>
            </w:r>
            <w:r>
              <w:rPr>
                <w:b/>
                <w:sz w:val="18"/>
              </w:rPr>
              <w:t>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3432</w:t>
            </w:r>
          </w:p>
        </w:tc>
        <w:tc>
          <w:tcPr>
            <w:tcW w:w="3180" w:type="dxa"/>
            <w:tcMar>
              <w:top w:w="0" w:type="dxa"/>
              <w:bottom w:w="0" w:type="dxa"/>
            </w:tcMar>
            <w:vAlign w:val="center"/>
          </w:tcPr>
          <w:p w:rsidR="005A6F60" w:rsidRDefault="00B31863">
            <w:pPr>
              <w:keepNext/>
              <w:keepLines/>
              <w:spacing w:after="0" w:line="240" w:lineRule="auto"/>
            </w:pPr>
            <w:r>
              <w:rPr>
                <w:sz w:val="18"/>
              </w:rPr>
              <w:t>Negativne tečajne razlike i razlike zbog primjene valutne klauzule</w:t>
            </w:r>
          </w:p>
        </w:tc>
        <w:tc>
          <w:tcPr>
            <w:tcW w:w="700" w:type="dxa"/>
            <w:tcMar>
              <w:top w:w="0" w:type="dxa"/>
              <w:bottom w:w="0" w:type="dxa"/>
            </w:tcMar>
            <w:vAlign w:val="center"/>
          </w:tcPr>
          <w:p w:rsidR="005A6F60" w:rsidRDefault="00B31863">
            <w:pPr>
              <w:keepNext/>
              <w:keepLines/>
              <w:spacing w:after="0" w:line="240" w:lineRule="auto"/>
            </w:pPr>
            <w:r>
              <w:rPr>
                <w:sz w:val="18"/>
              </w:rPr>
              <w:t>3432</w:t>
            </w:r>
          </w:p>
        </w:tc>
        <w:tc>
          <w:tcPr>
            <w:tcW w:w="1860" w:type="dxa"/>
            <w:tcMar>
              <w:top w:w="0" w:type="dxa"/>
              <w:bottom w:w="0" w:type="dxa"/>
            </w:tcMar>
            <w:vAlign w:val="center"/>
          </w:tcPr>
          <w:p w:rsidR="005A6F60" w:rsidRDefault="00B31863">
            <w:pPr>
              <w:keepNext/>
              <w:keepLines/>
              <w:spacing w:after="0" w:line="240" w:lineRule="auto"/>
              <w:jc w:val="right"/>
            </w:pPr>
            <w:r>
              <w:rPr>
                <w:sz w:val="18"/>
              </w:rPr>
              <w:t>309,18</w:t>
            </w:r>
          </w:p>
        </w:tc>
        <w:tc>
          <w:tcPr>
            <w:tcW w:w="1860" w:type="dxa"/>
            <w:tcMar>
              <w:top w:w="0" w:type="dxa"/>
              <w:bottom w:w="0" w:type="dxa"/>
            </w:tcMar>
            <w:vAlign w:val="center"/>
          </w:tcPr>
          <w:p w:rsidR="005A6F60" w:rsidRDefault="00B31863">
            <w:pPr>
              <w:keepNext/>
              <w:keepLines/>
              <w:spacing w:after="0" w:line="240" w:lineRule="auto"/>
              <w:jc w:val="right"/>
            </w:pPr>
            <w:r>
              <w:rPr>
                <w:sz w:val="18"/>
              </w:rPr>
              <w:t>727,03</w:t>
            </w:r>
          </w:p>
        </w:tc>
        <w:tc>
          <w:tcPr>
            <w:tcW w:w="700" w:type="dxa"/>
            <w:tcMar>
              <w:top w:w="0" w:type="dxa"/>
              <w:bottom w:w="0" w:type="dxa"/>
            </w:tcMar>
            <w:vAlign w:val="center"/>
          </w:tcPr>
          <w:p w:rsidR="005A6F60" w:rsidRDefault="00B31863">
            <w:pPr>
              <w:keepNext/>
              <w:keepLines/>
              <w:spacing w:after="0" w:line="240" w:lineRule="auto"/>
              <w:jc w:val="right"/>
            </w:pPr>
            <w:r>
              <w:rPr>
                <w:sz w:val="18"/>
              </w:rPr>
              <w:t>235,1</w:t>
            </w:r>
          </w:p>
        </w:tc>
      </w:tr>
    </w:tbl>
    <w:p w:rsidR="005A6F60" w:rsidRDefault="005A6F60">
      <w:pPr>
        <w:spacing w:after="0"/>
      </w:pPr>
    </w:p>
    <w:p w:rsidR="005A6F60" w:rsidRDefault="00B31863">
      <w:r>
        <w:t>Negativne tečajne razlike i razlike zbog primjene valutne klauzule su znatno veće u odnosu na prošlu godinu u istom razdoblju, a odnose se na tečajne razlike pri plaćanju kotizacija i članarina u valuti dolara.</w:t>
      </w:r>
    </w:p>
    <w:p w:rsidR="005A6F60" w:rsidRDefault="005A6F60"/>
    <w:p w:rsidR="005A6F60" w:rsidRDefault="00B31863">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3433</w:t>
            </w:r>
          </w:p>
        </w:tc>
        <w:tc>
          <w:tcPr>
            <w:tcW w:w="3180" w:type="dxa"/>
            <w:tcMar>
              <w:top w:w="0" w:type="dxa"/>
              <w:bottom w:w="0" w:type="dxa"/>
            </w:tcMar>
            <w:vAlign w:val="center"/>
          </w:tcPr>
          <w:p w:rsidR="005A6F60" w:rsidRDefault="00B31863">
            <w:pPr>
              <w:keepNext/>
              <w:keepLines/>
              <w:spacing w:after="0" w:line="240" w:lineRule="auto"/>
            </w:pPr>
            <w:r>
              <w:rPr>
                <w:sz w:val="18"/>
              </w:rPr>
              <w:t>Zatezne kamate</w:t>
            </w:r>
          </w:p>
        </w:tc>
        <w:tc>
          <w:tcPr>
            <w:tcW w:w="700" w:type="dxa"/>
            <w:tcMar>
              <w:top w:w="0" w:type="dxa"/>
              <w:bottom w:w="0" w:type="dxa"/>
            </w:tcMar>
            <w:vAlign w:val="center"/>
          </w:tcPr>
          <w:p w:rsidR="005A6F60" w:rsidRDefault="00B31863">
            <w:pPr>
              <w:keepNext/>
              <w:keepLines/>
              <w:spacing w:after="0" w:line="240" w:lineRule="auto"/>
            </w:pPr>
            <w:r>
              <w:rPr>
                <w:sz w:val="18"/>
              </w:rPr>
              <w:t>3433</w:t>
            </w:r>
          </w:p>
        </w:tc>
        <w:tc>
          <w:tcPr>
            <w:tcW w:w="1860" w:type="dxa"/>
            <w:tcMar>
              <w:top w:w="0" w:type="dxa"/>
              <w:bottom w:w="0" w:type="dxa"/>
            </w:tcMar>
            <w:vAlign w:val="center"/>
          </w:tcPr>
          <w:p w:rsidR="005A6F60" w:rsidRDefault="00B31863">
            <w:pPr>
              <w:keepNext/>
              <w:keepLines/>
              <w:spacing w:after="0" w:line="240" w:lineRule="auto"/>
              <w:jc w:val="right"/>
            </w:pPr>
            <w:r>
              <w:rPr>
                <w:sz w:val="18"/>
              </w:rPr>
              <w:t>3.155,73</w:t>
            </w:r>
          </w:p>
        </w:tc>
        <w:tc>
          <w:tcPr>
            <w:tcW w:w="1860" w:type="dxa"/>
            <w:tcMar>
              <w:top w:w="0" w:type="dxa"/>
              <w:bottom w:w="0" w:type="dxa"/>
            </w:tcMar>
            <w:vAlign w:val="center"/>
          </w:tcPr>
          <w:p w:rsidR="005A6F60" w:rsidRDefault="00B31863">
            <w:pPr>
              <w:keepNext/>
              <w:keepLines/>
              <w:spacing w:after="0" w:line="240" w:lineRule="auto"/>
              <w:jc w:val="right"/>
            </w:pPr>
            <w:r>
              <w:rPr>
                <w:sz w:val="18"/>
              </w:rPr>
              <w:t>9,08</w:t>
            </w:r>
          </w:p>
        </w:tc>
        <w:tc>
          <w:tcPr>
            <w:tcW w:w="700" w:type="dxa"/>
            <w:tcMar>
              <w:top w:w="0" w:type="dxa"/>
              <w:bottom w:w="0" w:type="dxa"/>
            </w:tcMar>
            <w:vAlign w:val="center"/>
          </w:tcPr>
          <w:p w:rsidR="005A6F60" w:rsidRDefault="00B31863">
            <w:pPr>
              <w:keepNext/>
              <w:keepLines/>
              <w:spacing w:after="0" w:line="240" w:lineRule="auto"/>
              <w:jc w:val="right"/>
            </w:pPr>
            <w:r>
              <w:rPr>
                <w:sz w:val="18"/>
              </w:rPr>
              <w:t>0,3</w:t>
            </w:r>
          </w:p>
        </w:tc>
      </w:tr>
    </w:tbl>
    <w:p w:rsidR="005A6F60" w:rsidRDefault="005A6F60">
      <w:pPr>
        <w:spacing w:after="0"/>
      </w:pPr>
    </w:p>
    <w:p w:rsidR="005A6F60" w:rsidRDefault="00B31863">
      <w:r>
        <w:t>Zatezne kamate kojih ove godine nismo imali u odnosu na prošlu godinu u istom razdoblju, odnose se na isplate razlike plaće u visini 6% na temelju pravomoćne sudske presude u javnim službama.</w:t>
      </w:r>
    </w:p>
    <w:p w:rsidR="005A6F60" w:rsidRDefault="005A6F60"/>
    <w:p w:rsidR="005A6F60" w:rsidRDefault="00B31863">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3721</w:t>
            </w:r>
          </w:p>
        </w:tc>
        <w:tc>
          <w:tcPr>
            <w:tcW w:w="3180" w:type="dxa"/>
            <w:tcMar>
              <w:top w:w="0" w:type="dxa"/>
              <w:bottom w:w="0" w:type="dxa"/>
            </w:tcMar>
            <w:vAlign w:val="center"/>
          </w:tcPr>
          <w:p w:rsidR="005A6F60" w:rsidRDefault="00B31863">
            <w:pPr>
              <w:keepNext/>
              <w:keepLines/>
              <w:spacing w:after="0" w:line="240" w:lineRule="auto"/>
            </w:pPr>
            <w:r>
              <w:rPr>
                <w:sz w:val="18"/>
              </w:rPr>
              <w:t>Naknade građanima i kućanstvima u novcu</w:t>
            </w:r>
          </w:p>
        </w:tc>
        <w:tc>
          <w:tcPr>
            <w:tcW w:w="700" w:type="dxa"/>
            <w:tcMar>
              <w:top w:w="0" w:type="dxa"/>
              <w:bottom w:w="0" w:type="dxa"/>
            </w:tcMar>
            <w:vAlign w:val="center"/>
          </w:tcPr>
          <w:p w:rsidR="005A6F60" w:rsidRDefault="00B31863">
            <w:pPr>
              <w:keepNext/>
              <w:keepLines/>
              <w:spacing w:after="0" w:line="240" w:lineRule="auto"/>
            </w:pPr>
            <w:r>
              <w:rPr>
                <w:sz w:val="18"/>
              </w:rPr>
              <w:t>3721</w:t>
            </w:r>
          </w:p>
        </w:tc>
        <w:tc>
          <w:tcPr>
            <w:tcW w:w="1860" w:type="dxa"/>
            <w:tcMar>
              <w:top w:w="0" w:type="dxa"/>
              <w:bottom w:w="0" w:type="dxa"/>
            </w:tcMar>
            <w:vAlign w:val="center"/>
          </w:tcPr>
          <w:p w:rsidR="005A6F60" w:rsidRDefault="00B31863">
            <w:pPr>
              <w:keepNext/>
              <w:keepLines/>
              <w:spacing w:after="0" w:line="240" w:lineRule="auto"/>
              <w:jc w:val="right"/>
            </w:pPr>
            <w:r>
              <w:rPr>
                <w:sz w:val="18"/>
              </w:rPr>
              <w:t>5.953,00</w:t>
            </w:r>
          </w:p>
        </w:tc>
        <w:tc>
          <w:tcPr>
            <w:tcW w:w="1860" w:type="dxa"/>
            <w:tcMar>
              <w:top w:w="0" w:type="dxa"/>
              <w:bottom w:w="0" w:type="dxa"/>
            </w:tcMar>
            <w:vAlign w:val="center"/>
          </w:tcPr>
          <w:p w:rsidR="005A6F60" w:rsidRDefault="00B31863">
            <w:pPr>
              <w:keepNext/>
              <w:keepLines/>
              <w:spacing w:after="0" w:line="240" w:lineRule="auto"/>
              <w:jc w:val="right"/>
            </w:pPr>
            <w:r>
              <w:rPr>
                <w:sz w:val="18"/>
              </w:rPr>
              <w:t>8.386,12</w:t>
            </w:r>
          </w:p>
        </w:tc>
        <w:tc>
          <w:tcPr>
            <w:tcW w:w="700" w:type="dxa"/>
            <w:tcMar>
              <w:top w:w="0" w:type="dxa"/>
              <w:bottom w:w="0" w:type="dxa"/>
            </w:tcMar>
            <w:vAlign w:val="center"/>
          </w:tcPr>
          <w:p w:rsidR="005A6F60" w:rsidRDefault="00B31863">
            <w:pPr>
              <w:keepNext/>
              <w:keepLines/>
              <w:spacing w:after="0" w:line="240" w:lineRule="auto"/>
              <w:jc w:val="right"/>
            </w:pPr>
            <w:r>
              <w:rPr>
                <w:sz w:val="18"/>
              </w:rPr>
              <w:t>140,9</w:t>
            </w:r>
          </w:p>
        </w:tc>
      </w:tr>
    </w:tbl>
    <w:p w:rsidR="005A6F60" w:rsidRDefault="005A6F60">
      <w:pPr>
        <w:spacing w:after="0"/>
      </w:pPr>
    </w:p>
    <w:p w:rsidR="005A6F60" w:rsidRDefault="00B31863">
      <w:r>
        <w:t xml:space="preserve">Naknade građanima i kućanstvima u novcu su veće za 40,9% jer smo ove godine isplatili veći iznos za studentske nagrade u odnosu na ranije godine. Odnose se na rashode za nagrade studentima za izvrsnost na studiju Dentalne medicine na hrvatskom i engleskom </w:t>
      </w:r>
      <w:r>
        <w:t>jeziku. </w:t>
      </w:r>
    </w:p>
    <w:p w:rsidR="005A6F60" w:rsidRDefault="005A6F60"/>
    <w:p w:rsidR="005A6F60" w:rsidRDefault="00B31863">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5A6F60">
            <w:pPr>
              <w:keepNext/>
              <w:keepLines/>
              <w:spacing w:after="0" w:line="240" w:lineRule="auto"/>
            </w:pPr>
          </w:p>
        </w:tc>
        <w:tc>
          <w:tcPr>
            <w:tcW w:w="3180" w:type="dxa"/>
            <w:tcMar>
              <w:top w:w="0" w:type="dxa"/>
              <w:bottom w:w="0" w:type="dxa"/>
            </w:tcMar>
            <w:vAlign w:val="center"/>
          </w:tcPr>
          <w:p w:rsidR="005A6F60" w:rsidRDefault="00B31863">
            <w:pPr>
              <w:keepNext/>
              <w:keepLines/>
              <w:spacing w:after="0" w:line="240" w:lineRule="auto"/>
            </w:pPr>
            <w:r>
              <w:rPr>
                <w:sz w:val="18"/>
              </w:rPr>
              <w:t>VIŠAK PRIHODA POSLOVANJA (šifre 6-Z005)</w:t>
            </w:r>
          </w:p>
        </w:tc>
        <w:tc>
          <w:tcPr>
            <w:tcW w:w="700" w:type="dxa"/>
            <w:tcMar>
              <w:top w:w="0" w:type="dxa"/>
              <w:bottom w:w="0" w:type="dxa"/>
            </w:tcMar>
            <w:vAlign w:val="center"/>
          </w:tcPr>
          <w:p w:rsidR="005A6F60" w:rsidRDefault="00B31863">
            <w:pPr>
              <w:keepNext/>
              <w:keepLines/>
              <w:spacing w:after="0" w:line="240" w:lineRule="auto"/>
            </w:pPr>
            <w:r>
              <w:rPr>
                <w:sz w:val="18"/>
              </w:rPr>
              <w:t>X001</w:t>
            </w:r>
          </w:p>
        </w:tc>
        <w:tc>
          <w:tcPr>
            <w:tcW w:w="1860" w:type="dxa"/>
            <w:tcMar>
              <w:top w:w="0" w:type="dxa"/>
              <w:bottom w:w="0" w:type="dxa"/>
            </w:tcMar>
            <w:vAlign w:val="center"/>
          </w:tcPr>
          <w:p w:rsidR="005A6F60" w:rsidRDefault="00B31863">
            <w:pPr>
              <w:keepNext/>
              <w:keepLines/>
              <w:spacing w:after="0" w:line="240" w:lineRule="auto"/>
              <w:jc w:val="right"/>
            </w:pPr>
            <w:r>
              <w:rPr>
                <w:sz w:val="18"/>
              </w:rPr>
              <w:t>772.747,59</w:t>
            </w:r>
          </w:p>
        </w:tc>
        <w:tc>
          <w:tcPr>
            <w:tcW w:w="1860" w:type="dxa"/>
            <w:tcMar>
              <w:top w:w="0" w:type="dxa"/>
              <w:bottom w:w="0" w:type="dxa"/>
            </w:tcMar>
            <w:vAlign w:val="center"/>
          </w:tcPr>
          <w:p w:rsidR="005A6F60" w:rsidRDefault="00B31863">
            <w:pPr>
              <w:keepNext/>
              <w:keepLines/>
              <w:spacing w:after="0" w:line="240" w:lineRule="auto"/>
              <w:jc w:val="right"/>
            </w:pPr>
            <w:r>
              <w:rPr>
                <w:sz w:val="18"/>
              </w:rPr>
              <w:t>371.861,28</w:t>
            </w:r>
          </w:p>
        </w:tc>
        <w:tc>
          <w:tcPr>
            <w:tcW w:w="700" w:type="dxa"/>
            <w:tcMar>
              <w:top w:w="0" w:type="dxa"/>
              <w:bottom w:w="0" w:type="dxa"/>
            </w:tcMar>
            <w:vAlign w:val="center"/>
          </w:tcPr>
          <w:p w:rsidR="005A6F60" w:rsidRDefault="00B31863">
            <w:pPr>
              <w:keepNext/>
              <w:keepLines/>
              <w:spacing w:after="0" w:line="240" w:lineRule="auto"/>
              <w:jc w:val="right"/>
            </w:pPr>
            <w:r>
              <w:rPr>
                <w:sz w:val="18"/>
              </w:rPr>
              <w:t>48,1</w:t>
            </w:r>
          </w:p>
        </w:tc>
      </w:tr>
    </w:tbl>
    <w:p w:rsidR="005A6F60" w:rsidRDefault="005A6F60">
      <w:pPr>
        <w:spacing w:after="0"/>
      </w:pPr>
    </w:p>
    <w:p w:rsidR="005A6F60" w:rsidRDefault="00B31863">
      <w:r>
        <w:t>Višak prihoda poslovanja iznosi 371.861,28 eura što je za 51,9% manje u odnosu na prošlu godinu. Do značajnog smanjenja došlo je radi promjene Pravilnika o proračunskom računovodstvu jer smo knjigovodstveno evidentirali 13. plaću i prijevoz iz Državnog pro</w:t>
      </w:r>
      <w:r>
        <w:t>računa iz izvora 11 što predstavlja metodološki manjak.</w:t>
      </w:r>
    </w:p>
    <w:p w:rsidR="005A6F60" w:rsidRDefault="005A6F60"/>
    <w:p w:rsidR="005A6F60" w:rsidRDefault="00B31863">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7211</w:t>
            </w:r>
          </w:p>
        </w:tc>
        <w:tc>
          <w:tcPr>
            <w:tcW w:w="3180" w:type="dxa"/>
            <w:tcMar>
              <w:top w:w="0" w:type="dxa"/>
              <w:bottom w:w="0" w:type="dxa"/>
            </w:tcMar>
            <w:vAlign w:val="center"/>
          </w:tcPr>
          <w:p w:rsidR="005A6F60" w:rsidRDefault="00B31863">
            <w:pPr>
              <w:keepNext/>
              <w:keepLines/>
              <w:spacing w:after="0" w:line="240" w:lineRule="auto"/>
            </w:pPr>
            <w:r>
              <w:rPr>
                <w:sz w:val="18"/>
              </w:rPr>
              <w:t>Stambeni objekti</w:t>
            </w:r>
          </w:p>
        </w:tc>
        <w:tc>
          <w:tcPr>
            <w:tcW w:w="700" w:type="dxa"/>
            <w:tcMar>
              <w:top w:w="0" w:type="dxa"/>
              <w:bottom w:w="0" w:type="dxa"/>
            </w:tcMar>
            <w:vAlign w:val="center"/>
          </w:tcPr>
          <w:p w:rsidR="005A6F60" w:rsidRDefault="00B31863">
            <w:pPr>
              <w:keepNext/>
              <w:keepLines/>
              <w:spacing w:after="0" w:line="240" w:lineRule="auto"/>
            </w:pPr>
            <w:r>
              <w:rPr>
                <w:sz w:val="18"/>
              </w:rPr>
              <w:t>7211</w:t>
            </w:r>
          </w:p>
        </w:tc>
        <w:tc>
          <w:tcPr>
            <w:tcW w:w="1860" w:type="dxa"/>
            <w:tcMar>
              <w:top w:w="0" w:type="dxa"/>
              <w:bottom w:w="0" w:type="dxa"/>
            </w:tcMar>
            <w:vAlign w:val="center"/>
          </w:tcPr>
          <w:p w:rsidR="005A6F60" w:rsidRDefault="00B31863">
            <w:pPr>
              <w:keepNext/>
              <w:keepLines/>
              <w:spacing w:after="0" w:line="240" w:lineRule="auto"/>
              <w:jc w:val="right"/>
            </w:pPr>
            <w:r>
              <w:rPr>
                <w:sz w:val="18"/>
              </w:rPr>
              <w:t>469,58</w:t>
            </w:r>
          </w:p>
        </w:tc>
        <w:tc>
          <w:tcPr>
            <w:tcW w:w="1860" w:type="dxa"/>
            <w:tcMar>
              <w:top w:w="0" w:type="dxa"/>
              <w:bottom w:w="0" w:type="dxa"/>
            </w:tcMar>
            <w:vAlign w:val="center"/>
          </w:tcPr>
          <w:p w:rsidR="005A6F60" w:rsidRDefault="00B31863">
            <w:pPr>
              <w:keepNext/>
              <w:keepLines/>
              <w:spacing w:after="0" w:line="240" w:lineRule="auto"/>
              <w:jc w:val="right"/>
            </w:pPr>
            <w:r>
              <w:rPr>
                <w:sz w:val="18"/>
              </w:rPr>
              <w:t>353,15</w:t>
            </w:r>
          </w:p>
        </w:tc>
        <w:tc>
          <w:tcPr>
            <w:tcW w:w="700" w:type="dxa"/>
            <w:tcMar>
              <w:top w:w="0" w:type="dxa"/>
              <w:bottom w:w="0" w:type="dxa"/>
            </w:tcMar>
            <w:vAlign w:val="center"/>
          </w:tcPr>
          <w:p w:rsidR="005A6F60" w:rsidRDefault="00B31863">
            <w:pPr>
              <w:keepNext/>
              <w:keepLines/>
              <w:spacing w:after="0" w:line="240" w:lineRule="auto"/>
              <w:jc w:val="right"/>
            </w:pPr>
            <w:r>
              <w:rPr>
                <w:sz w:val="18"/>
              </w:rPr>
              <w:t>75,2</w:t>
            </w:r>
          </w:p>
        </w:tc>
      </w:tr>
    </w:tbl>
    <w:p w:rsidR="005A6F60" w:rsidRDefault="005A6F60">
      <w:pPr>
        <w:spacing w:after="0"/>
      </w:pPr>
    </w:p>
    <w:p w:rsidR="005A6F60" w:rsidRDefault="00B31863">
      <w:r>
        <w:lastRenderedPageBreak/>
        <w:t>Stambeni objekti su u odnosu na prethodnu godinu manji za 24,8%, odnose se na manje uplaćene prihode za otkup stanova.</w:t>
      </w:r>
    </w:p>
    <w:p w:rsidR="005A6F60" w:rsidRDefault="005A6F60"/>
    <w:p w:rsidR="005A6F60" w:rsidRDefault="00B31863">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4212</w:t>
            </w:r>
          </w:p>
        </w:tc>
        <w:tc>
          <w:tcPr>
            <w:tcW w:w="3180" w:type="dxa"/>
            <w:tcMar>
              <w:top w:w="0" w:type="dxa"/>
              <w:bottom w:w="0" w:type="dxa"/>
            </w:tcMar>
            <w:vAlign w:val="center"/>
          </w:tcPr>
          <w:p w:rsidR="005A6F60" w:rsidRDefault="00B31863">
            <w:pPr>
              <w:keepNext/>
              <w:keepLines/>
              <w:spacing w:after="0" w:line="240" w:lineRule="auto"/>
            </w:pPr>
            <w:r>
              <w:rPr>
                <w:sz w:val="18"/>
              </w:rPr>
              <w:t>Poslovni objekti</w:t>
            </w:r>
          </w:p>
        </w:tc>
        <w:tc>
          <w:tcPr>
            <w:tcW w:w="700" w:type="dxa"/>
            <w:tcMar>
              <w:top w:w="0" w:type="dxa"/>
              <w:bottom w:w="0" w:type="dxa"/>
            </w:tcMar>
            <w:vAlign w:val="center"/>
          </w:tcPr>
          <w:p w:rsidR="005A6F60" w:rsidRDefault="00B31863">
            <w:pPr>
              <w:keepNext/>
              <w:keepLines/>
              <w:spacing w:after="0" w:line="240" w:lineRule="auto"/>
            </w:pPr>
            <w:r>
              <w:rPr>
                <w:sz w:val="18"/>
              </w:rPr>
              <w:t>4212</w:t>
            </w:r>
          </w:p>
        </w:tc>
        <w:tc>
          <w:tcPr>
            <w:tcW w:w="1860" w:type="dxa"/>
            <w:tcMar>
              <w:top w:w="0" w:type="dxa"/>
              <w:bottom w:w="0" w:type="dxa"/>
            </w:tcMar>
            <w:vAlign w:val="center"/>
          </w:tcPr>
          <w:p w:rsidR="005A6F60" w:rsidRDefault="00B31863">
            <w:pPr>
              <w:keepNext/>
              <w:keepLines/>
              <w:spacing w:after="0" w:line="240" w:lineRule="auto"/>
              <w:jc w:val="right"/>
            </w:pPr>
            <w:r>
              <w:rPr>
                <w:sz w:val="18"/>
              </w:rPr>
              <w:t>36.753,00</w:t>
            </w:r>
          </w:p>
        </w:tc>
        <w:tc>
          <w:tcPr>
            <w:tcW w:w="1860" w:type="dxa"/>
            <w:tcMar>
              <w:top w:w="0" w:type="dxa"/>
              <w:bottom w:w="0" w:type="dxa"/>
            </w:tcMar>
            <w:vAlign w:val="center"/>
          </w:tcPr>
          <w:p w:rsidR="005A6F60" w:rsidRDefault="00B31863">
            <w:pPr>
              <w:keepNext/>
              <w:keepLines/>
              <w:spacing w:after="0" w:line="240" w:lineRule="auto"/>
              <w:jc w:val="right"/>
            </w:pPr>
            <w:r>
              <w:rPr>
                <w:sz w:val="18"/>
              </w:rPr>
              <w:t>456.602,51</w:t>
            </w:r>
          </w:p>
        </w:tc>
        <w:tc>
          <w:tcPr>
            <w:tcW w:w="700" w:type="dxa"/>
            <w:tcMar>
              <w:top w:w="0" w:type="dxa"/>
              <w:bottom w:w="0" w:type="dxa"/>
            </w:tcMar>
            <w:vAlign w:val="center"/>
          </w:tcPr>
          <w:p w:rsidR="005A6F60" w:rsidRDefault="00B31863">
            <w:pPr>
              <w:keepNext/>
              <w:keepLines/>
              <w:spacing w:after="0" w:line="240" w:lineRule="auto"/>
              <w:jc w:val="right"/>
            </w:pPr>
            <w:r>
              <w:rPr>
                <w:sz w:val="18"/>
              </w:rPr>
              <w:t>1242,4</w:t>
            </w:r>
          </w:p>
        </w:tc>
      </w:tr>
    </w:tbl>
    <w:p w:rsidR="005A6F60" w:rsidRDefault="005A6F60">
      <w:pPr>
        <w:spacing w:after="0"/>
      </w:pPr>
    </w:p>
    <w:p w:rsidR="005A6F60" w:rsidRDefault="00B31863">
      <w:r>
        <w:t>Rashodi za poslovne objekte – značajno povećanje radi stjecanja nekretnine na adresi Gundulićeva 3, 1. kat u Zagrebu, u svrhu korištenja za obavljanje osnovne djelatnosti održavanje nastave i znanstveno istraživačkog rada. </w:t>
      </w:r>
    </w:p>
    <w:p w:rsidR="005A6F60" w:rsidRDefault="005A6F60"/>
    <w:p w:rsidR="005A6F60" w:rsidRDefault="00B31863">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w:t>
            </w:r>
            <w:r>
              <w:rPr>
                <w:b/>
                <w:sz w:val="18"/>
              </w:rPr>
              <w:t>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422</w:t>
            </w:r>
          </w:p>
        </w:tc>
        <w:tc>
          <w:tcPr>
            <w:tcW w:w="3180" w:type="dxa"/>
            <w:tcMar>
              <w:top w:w="0" w:type="dxa"/>
              <w:bottom w:w="0" w:type="dxa"/>
            </w:tcMar>
            <w:vAlign w:val="center"/>
          </w:tcPr>
          <w:p w:rsidR="005A6F60" w:rsidRDefault="00B31863">
            <w:pPr>
              <w:keepNext/>
              <w:keepLines/>
              <w:spacing w:after="0" w:line="240" w:lineRule="auto"/>
            </w:pPr>
            <w:r>
              <w:rPr>
                <w:sz w:val="18"/>
              </w:rPr>
              <w:t>Postrojenja i oprema (šifre 4221 do 4228)</w:t>
            </w:r>
          </w:p>
        </w:tc>
        <w:tc>
          <w:tcPr>
            <w:tcW w:w="700" w:type="dxa"/>
            <w:tcMar>
              <w:top w:w="0" w:type="dxa"/>
              <w:bottom w:w="0" w:type="dxa"/>
            </w:tcMar>
            <w:vAlign w:val="center"/>
          </w:tcPr>
          <w:p w:rsidR="005A6F60" w:rsidRDefault="00B31863">
            <w:pPr>
              <w:keepNext/>
              <w:keepLines/>
              <w:spacing w:after="0" w:line="240" w:lineRule="auto"/>
            </w:pPr>
            <w:r>
              <w:rPr>
                <w:sz w:val="18"/>
              </w:rPr>
              <w:t>422</w:t>
            </w:r>
          </w:p>
        </w:tc>
        <w:tc>
          <w:tcPr>
            <w:tcW w:w="1860" w:type="dxa"/>
            <w:tcMar>
              <w:top w:w="0" w:type="dxa"/>
              <w:bottom w:w="0" w:type="dxa"/>
            </w:tcMar>
            <w:vAlign w:val="center"/>
          </w:tcPr>
          <w:p w:rsidR="005A6F60" w:rsidRDefault="00B31863">
            <w:pPr>
              <w:keepNext/>
              <w:keepLines/>
              <w:spacing w:after="0" w:line="240" w:lineRule="auto"/>
              <w:jc w:val="right"/>
            </w:pPr>
            <w:r>
              <w:rPr>
                <w:sz w:val="18"/>
              </w:rPr>
              <w:t>376.895,50</w:t>
            </w:r>
          </w:p>
        </w:tc>
        <w:tc>
          <w:tcPr>
            <w:tcW w:w="1860" w:type="dxa"/>
            <w:tcMar>
              <w:top w:w="0" w:type="dxa"/>
              <w:bottom w:w="0" w:type="dxa"/>
            </w:tcMar>
            <w:vAlign w:val="center"/>
          </w:tcPr>
          <w:p w:rsidR="005A6F60" w:rsidRDefault="00B31863">
            <w:pPr>
              <w:keepNext/>
              <w:keepLines/>
              <w:spacing w:after="0" w:line="240" w:lineRule="auto"/>
              <w:jc w:val="right"/>
            </w:pPr>
            <w:r>
              <w:rPr>
                <w:sz w:val="18"/>
              </w:rPr>
              <w:t>276.434,87</w:t>
            </w:r>
          </w:p>
        </w:tc>
        <w:tc>
          <w:tcPr>
            <w:tcW w:w="700" w:type="dxa"/>
            <w:tcMar>
              <w:top w:w="0" w:type="dxa"/>
              <w:bottom w:w="0" w:type="dxa"/>
            </w:tcMar>
            <w:vAlign w:val="center"/>
          </w:tcPr>
          <w:p w:rsidR="005A6F60" w:rsidRDefault="00B31863">
            <w:pPr>
              <w:keepNext/>
              <w:keepLines/>
              <w:spacing w:after="0" w:line="240" w:lineRule="auto"/>
              <w:jc w:val="right"/>
            </w:pPr>
            <w:r>
              <w:rPr>
                <w:sz w:val="18"/>
              </w:rPr>
              <w:t>73,3</w:t>
            </w:r>
          </w:p>
        </w:tc>
      </w:tr>
    </w:tbl>
    <w:p w:rsidR="005A6F60" w:rsidRDefault="005A6F60">
      <w:pPr>
        <w:spacing w:after="0"/>
      </w:pPr>
    </w:p>
    <w:p w:rsidR="005A6F60" w:rsidRDefault="00B31863">
      <w:r>
        <w:t>Rashodi za nabavu nefinancijske imovine manji su u odnosu na prošlu godinu za 26,7%. Značajnije povećanje u odnosu na prošlu godinu unutar kategorije za nabavu računalne opreme za nabavu 5 komada iPad pro u svrhu korištenja dentalnih operacijskih mikroskop</w:t>
      </w:r>
      <w:r>
        <w:t xml:space="preserve">a, nabavu novih računala kojima obnavaljamo zastarjelu informatičku opremu, 3D printera i obnovu uredskog namještaja. Povećanje pod instrumenti i uređaji gdje smo nabavili lupe i precizne mjerne vage za izvođenje nastave. Smanjenje komunikacijske opreme i </w:t>
      </w:r>
      <w:r>
        <w:t>opreme za održavanje i zaštitu jer smo obnavljali samo dio mobilnih i klima uređaja. Najznačajnije smanjenje odnosi se na kategoriju medicinske i laboratorijske opreme jer smo prošle godine proveli postupak provedbe javne nabave značajne vrijednosti za 5 k</w:t>
      </w:r>
      <w:r>
        <w:t>omada dentalnih operacijskih mikroskopa dok smo ove godine za potrebe provođenja istraživanja nabavili laser Fotona Ligtwalker financirano iz projekta Hrvatske zaklade za znanost. </w:t>
      </w:r>
    </w:p>
    <w:p w:rsidR="005A6F60" w:rsidRDefault="005A6F60"/>
    <w:p w:rsidR="005A6F60" w:rsidRDefault="00B31863">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w:t>
            </w:r>
            <w:r>
              <w:rPr>
                <w:b/>
                <w:sz w:val="18"/>
              </w:rPr>
              <w:t>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424</w:t>
            </w:r>
          </w:p>
        </w:tc>
        <w:tc>
          <w:tcPr>
            <w:tcW w:w="3180" w:type="dxa"/>
            <w:tcMar>
              <w:top w:w="0" w:type="dxa"/>
              <w:bottom w:w="0" w:type="dxa"/>
            </w:tcMar>
            <w:vAlign w:val="center"/>
          </w:tcPr>
          <w:p w:rsidR="005A6F60" w:rsidRDefault="00B31863">
            <w:pPr>
              <w:keepNext/>
              <w:keepLines/>
              <w:spacing w:after="0" w:line="240" w:lineRule="auto"/>
            </w:pPr>
            <w:r>
              <w:rPr>
                <w:sz w:val="18"/>
              </w:rPr>
              <w:t>Knjige, umjetnička djela i ostale izložbene vrijednosti (šifre 4241 do 4244)</w:t>
            </w:r>
          </w:p>
        </w:tc>
        <w:tc>
          <w:tcPr>
            <w:tcW w:w="700" w:type="dxa"/>
            <w:tcMar>
              <w:top w:w="0" w:type="dxa"/>
              <w:bottom w:w="0" w:type="dxa"/>
            </w:tcMar>
            <w:vAlign w:val="center"/>
          </w:tcPr>
          <w:p w:rsidR="005A6F60" w:rsidRDefault="00B31863">
            <w:pPr>
              <w:keepNext/>
              <w:keepLines/>
              <w:spacing w:after="0" w:line="240" w:lineRule="auto"/>
            </w:pPr>
            <w:r>
              <w:rPr>
                <w:sz w:val="18"/>
              </w:rPr>
              <w:t>424</w:t>
            </w:r>
          </w:p>
        </w:tc>
        <w:tc>
          <w:tcPr>
            <w:tcW w:w="1860" w:type="dxa"/>
            <w:tcMar>
              <w:top w:w="0" w:type="dxa"/>
              <w:bottom w:w="0" w:type="dxa"/>
            </w:tcMar>
            <w:vAlign w:val="center"/>
          </w:tcPr>
          <w:p w:rsidR="005A6F60" w:rsidRDefault="00B31863">
            <w:pPr>
              <w:keepNext/>
              <w:keepLines/>
              <w:spacing w:after="0" w:line="240" w:lineRule="auto"/>
              <w:jc w:val="right"/>
            </w:pPr>
            <w:r>
              <w:rPr>
                <w:sz w:val="18"/>
              </w:rPr>
              <w:t>6.904,55</w:t>
            </w:r>
          </w:p>
        </w:tc>
        <w:tc>
          <w:tcPr>
            <w:tcW w:w="1860" w:type="dxa"/>
            <w:tcMar>
              <w:top w:w="0" w:type="dxa"/>
              <w:bottom w:w="0" w:type="dxa"/>
            </w:tcMar>
            <w:vAlign w:val="center"/>
          </w:tcPr>
          <w:p w:rsidR="005A6F60" w:rsidRDefault="00B31863">
            <w:pPr>
              <w:keepNext/>
              <w:keepLines/>
              <w:spacing w:after="0" w:line="240" w:lineRule="auto"/>
              <w:jc w:val="right"/>
            </w:pPr>
            <w:r>
              <w:rPr>
                <w:sz w:val="18"/>
              </w:rPr>
              <w:t>4.045,12</w:t>
            </w:r>
          </w:p>
        </w:tc>
        <w:tc>
          <w:tcPr>
            <w:tcW w:w="700" w:type="dxa"/>
            <w:tcMar>
              <w:top w:w="0" w:type="dxa"/>
              <w:bottom w:w="0" w:type="dxa"/>
            </w:tcMar>
            <w:vAlign w:val="center"/>
          </w:tcPr>
          <w:p w:rsidR="005A6F60" w:rsidRDefault="00B31863">
            <w:pPr>
              <w:keepNext/>
              <w:keepLines/>
              <w:spacing w:after="0" w:line="240" w:lineRule="auto"/>
              <w:jc w:val="right"/>
            </w:pPr>
            <w:r>
              <w:rPr>
                <w:sz w:val="18"/>
              </w:rPr>
              <w:t>58,6</w:t>
            </w:r>
          </w:p>
        </w:tc>
      </w:tr>
    </w:tbl>
    <w:p w:rsidR="005A6F60" w:rsidRDefault="005A6F60">
      <w:pPr>
        <w:spacing w:after="0"/>
      </w:pPr>
    </w:p>
    <w:p w:rsidR="005A6F60" w:rsidRDefault="00B31863">
      <w:r>
        <w:lastRenderedPageBreak/>
        <w:t>Rashodi za nabavu knjiga znatno su manji u odnosu na prošlu godinu za 41,4%. Odnose se na manje nabavljene knjige i donaciju knjiga Središnjoj stomatološkoj knjižnici.</w:t>
      </w:r>
    </w:p>
    <w:p w:rsidR="005A6F60" w:rsidRDefault="005A6F60"/>
    <w:p w:rsidR="005A6F60" w:rsidRDefault="00B31863">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w:t>
            </w:r>
            <w:r>
              <w:rPr>
                <w:b/>
                <w:sz w:val="18"/>
              </w:rPr>
              <w:t>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426</w:t>
            </w:r>
          </w:p>
        </w:tc>
        <w:tc>
          <w:tcPr>
            <w:tcW w:w="3180" w:type="dxa"/>
            <w:tcMar>
              <w:top w:w="0" w:type="dxa"/>
              <w:bottom w:w="0" w:type="dxa"/>
            </w:tcMar>
            <w:vAlign w:val="center"/>
          </w:tcPr>
          <w:p w:rsidR="005A6F60" w:rsidRDefault="00B31863">
            <w:pPr>
              <w:keepNext/>
              <w:keepLines/>
              <w:spacing w:after="0" w:line="240" w:lineRule="auto"/>
            </w:pPr>
            <w:r>
              <w:rPr>
                <w:sz w:val="18"/>
              </w:rPr>
              <w:t>Nematerijalna proizvedena imovina (šifre 4261 do 4264)</w:t>
            </w:r>
          </w:p>
        </w:tc>
        <w:tc>
          <w:tcPr>
            <w:tcW w:w="700" w:type="dxa"/>
            <w:tcMar>
              <w:top w:w="0" w:type="dxa"/>
              <w:bottom w:w="0" w:type="dxa"/>
            </w:tcMar>
            <w:vAlign w:val="center"/>
          </w:tcPr>
          <w:p w:rsidR="005A6F60" w:rsidRDefault="00B31863">
            <w:pPr>
              <w:keepNext/>
              <w:keepLines/>
              <w:spacing w:after="0" w:line="240" w:lineRule="auto"/>
            </w:pPr>
            <w:r>
              <w:rPr>
                <w:sz w:val="18"/>
              </w:rPr>
              <w:t>426</w:t>
            </w:r>
          </w:p>
        </w:tc>
        <w:tc>
          <w:tcPr>
            <w:tcW w:w="1860" w:type="dxa"/>
            <w:tcMar>
              <w:top w:w="0" w:type="dxa"/>
              <w:bottom w:w="0" w:type="dxa"/>
            </w:tcMar>
            <w:vAlign w:val="center"/>
          </w:tcPr>
          <w:p w:rsidR="005A6F60" w:rsidRDefault="00B31863">
            <w:pPr>
              <w:keepNext/>
              <w:keepLines/>
              <w:spacing w:after="0" w:line="240" w:lineRule="auto"/>
              <w:jc w:val="right"/>
            </w:pPr>
            <w:r>
              <w:rPr>
                <w:sz w:val="18"/>
              </w:rPr>
              <w:t>10.312,50</w:t>
            </w:r>
          </w:p>
        </w:tc>
        <w:tc>
          <w:tcPr>
            <w:tcW w:w="1860" w:type="dxa"/>
            <w:tcMar>
              <w:top w:w="0" w:type="dxa"/>
              <w:bottom w:w="0" w:type="dxa"/>
            </w:tcMar>
            <w:vAlign w:val="center"/>
          </w:tcPr>
          <w:p w:rsidR="005A6F60" w:rsidRDefault="00B31863">
            <w:pPr>
              <w:keepNext/>
              <w:keepLines/>
              <w:spacing w:after="0" w:line="240" w:lineRule="auto"/>
              <w:jc w:val="right"/>
            </w:pPr>
            <w:r>
              <w:rPr>
                <w:sz w:val="18"/>
              </w:rPr>
              <w:t>34.745,01</w:t>
            </w:r>
          </w:p>
        </w:tc>
        <w:tc>
          <w:tcPr>
            <w:tcW w:w="700" w:type="dxa"/>
            <w:tcMar>
              <w:top w:w="0" w:type="dxa"/>
              <w:bottom w:w="0" w:type="dxa"/>
            </w:tcMar>
            <w:vAlign w:val="center"/>
          </w:tcPr>
          <w:p w:rsidR="005A6F60" w:rsidRDefault="00B31863">
            <w:pPr>
              <w:keepNext/>
              <w:keepLines/>
              <w:spacing w:after="0" w:line="240" w:lineRule="auto"/>
              <w:jc w:val="right"/>
            </w:pPr>
            <w:r>
              <w:rPr>
                <w:sz w:val="18"/>
              </w:rPr>
              <w:t>336,9</w:t>
            </w:r>
          </w:p>
        </w:tc>
      </w:tr>
    </w:tbl>
    <w:p w:rsidR="005A6F60" w:rsidRDefault="005A6F60">
      <w:pPr>
        <w:spacing w:after="0"/>
      </w:pPr>
    </w:p>
    <w:p w:rsidR="005A6F60" w:rsidRDefault="00B31863">
      <w:r>
        <w:t>Nematerijalna proizvedena imovina – u odnosu na prošlu godinu značajno povećanje od 236,9% jer smo u svrhu digitalizacije poslovnih procesa nabavili računalni sustav financijsko-računovodstvenog poslovanja s elektroničkim odobravanjem računa.</w:t>
      </w:r>
    </w:p>
    <w:p w:rsidR="005A6F60" w:rsidRDefault="005A6F60"/>
    <w:p w:rsidR="005A6F60" w:rsidRDefault="00B31863">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5A6F60">
            <w:pPr>
              <w:keepNext/>
              <w:keepLines/>
              <w:spacing w:after="0" w:line="240" w:lineRule="auto"/>
            </w:pPr>
          </w:p>
        </w:tc>
        <w:tc>
          <w:tcPr>
            <w:tcW w:w="3180" w:type="dxa"/>
            <w:tcMar>
              <w:top w:w="0" w:type="dxa"/>
              <w:bottom w:w="0" w:type="dxa"/>
            </w:tcMar>
            <w:vAlign w:val="center"/>
          </w:tcPr>
          <w:p w:rsidR="005A6F60" w:rsidRDefault="00B31863">
            <w:pPr>
              <w:keepNext/>
              <w:keepLines/>
              <w:spacing w:after="0" w:line="240" w:lineRule="auto"/>
            </w:pPr>
            <w:r>
              <w:rPr>
                <w:sz w:val="18"/>
              </w:rPr>
              <w:t>MANJAK PRIHODA OD NEFINANCIJSKE IMOVINE (šifre 4-7)</w:t>
            </w:r>
          </w:p>
        </w:tc>
        <w:tc>
          <w:tcPr>
            <w:tcW w:w="700" w:type="dxa"/>
            <w:tcMar>
              <w:top w:w="0" w:type="dxa"/>
              <w:bottom w:w="0" w:type="dxa"/>
            </w:tcMar>
            <w:vAlign w:val="center"/>
          </w:tcPr>
          <w:p w:rsidR="005A6F60" w:rsidRDefault="00B31863">
            <w:pPr>
              <w:keepNext/>
              <w:keepLines/>
              <w:spacing w:after="0" w:line="240" w:lineRule="auto"/>
            </w:pPr>
            <w:r>
              <w:rPr>
                <w:sz w:val="18"/>
              </w:rPr>
              <w:t>Y002</w:t>
            </w:r>
          </w:p>
        </w:tc>
        <w:tc>
          <w:tcPr>
            <w:tcW w:w="1860" w:type="dxa"/>
            <w:tcMar>
              <w:top w:w="0" w:type="dxa"/>
              <w:bottom w:w="0" w:type="dxa"/>
            </w:tcMar>
            <w:vAlign w:val="center"/>
          </w:tcPr>
          <w:p w:rsidR="005A6F60" w:rsidRDefault="00B31863">
            <w:pPr>
              <w:keepNext/>
              <w:keepLines/>
              <w:spacing w:after="0" w:line="240" w:lineRule="auto"/>
              <w:jc w:val="right"/>
            </w:pPr>
            <w:r>
              <w:rPr>
                <w:sz w:val="18"/>
              </w:rPr>
              <w:t>430.395,97</w:t>
            </w:r>
          </w:p>
        </w:tc>
        <w:tc>
          <w:tcPr>
            <w:tcW w:w="1860" w:type="dxa"/>
            <w:tcMar>
              <w:top w:w="0" w:type="dxa"/>
              <w:bottom w:w="0" w:type="dxa"/>
            </w:tcMar>
            <w:vAlign w:val="center"/>
          </w:tcPr>
          <w:p w:rsidR="005A6F60" w:rsidRDefault="00B31863">
            <w:pPr>
              <w:keepNext/>
              <w:keepLines/>
              <w:spacing w:after="0" w:line="240" w:lineRule="auto"/>
              <w:jc w:val="right"/>
            </w:pPr>
            <w:r>
              <w:rPr>
                <w:sz w:val="18"/>
              </w:rPr>
              <w:t>771.474,36</w:t>
            </w:r>
          </w:p>
        </w:tc>
        <w:tc>
          <w:tcPr>
            <w:tcW w:w="700" w:type="dxa"/>
            <w:tcMar>
              <w:top w:w="0" w:type="dxa"/>
              <w:bottom w:w="0" w:type="dxa"/>
            </w:tcMar>
            <w:vAlign w:val="center"/>
          </w:tcPr>
          <w:p w:rsidR="005A6F60" w:rsidRDefault="00B31863">
            <w:pPr>
              <w:keepNext/>
              <w:keepLines/>
              <w:spacing w:after="0" w:line="240" w:lineRule="auto"/>
              <w:jc w:val="right"/>
            </w:pPr>
            <w:r>
              <w:rPr>
                <w:sz w:val="18"/>
              </w:rPr>
              <w:t>179,2</w:t>
            </w:r>
          </w:p>
        </w:tc>
      </w:tr>
    </w:tbl>
    <w:p w:rsidR="005A6F60" w:rsidRDefault="005A6F60">
      <w:pPr>
        <w:spacing w:after="0"/>
      </w:pPr>
    </w:p>
    <w:p w:rsidR="005A6F60" w:rsidRDefault="00B31863">
      <w:r>
        <w:t>Manjak prihoda od nefinancijske imovine iznosi 771.474,36 eura što je 79,2% više u odnosu na prošlu godinu. Manjak se odnosi na trošak kupovine prostora na adresi Gundulićeva 3 u svrhu korištenja za obavljanje osnovne djelatnosti održavanje nastave i znans</w:t>
      </w:r>
      <w:r>
        <w:t>tveno istraživačkog rada, te za nabavu nefinancijske imovine koja se financira prihodima iz poslovanja.</w:t>
      </w:r>
    </w:p>
    <w:p w:rsidR="005A6F60" w:rsidRDefault="005A6F60"/>
    <w:p w:rsidR="005A6F60" w:rsidRDefault="00B31863">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5A6F60">
            <w:pPr>
              <w:keepNext/>
              <w:keepLines/>
              <w:spacing w:after="0" w:line="240" w:lineRule="auto"/>
            </w:pPr>
          </w:p>
        </w:tc>
        <w:tc>
          <w:tcPr>
            <w:tcW w:w="3180" w:type="dxa"/>
            <w:tcMar>
              <w:top w:w="0" w:type="dxa"/>
              <w:bottom w:w="0" w:type="dxa"/>
            </w:tcMar>
            <w:vAlign w:val="center"/>
          </w:tcPr>
          <w:p w:rsidR="005A6F60" w:rsidRDefault="00B31863">
            <w:pPr>
              <w:keepNext/>
              <w:keepLines/>
              <w:spacing w:after="0" w:line="240" w:lineRule="auto"/>
            </w:pPr>
            <w:r>
              <w:rPr>
                <w:sz w:val="18"/>
              </w:rPr>
              <w:t>UKUPAN MANJAK PRIHODA (šifre Y034-X067)</w:t>
            </w:r>
          </w:p>
        </w:tc>
        <w:tc>
          <w:tcPr>
            <w:tcW w:w="700" w:type="dxa"/>
            <w:tcMar>
              <w:top w:w="0" w:type="dxa"/>
              <w:bottom w:w="0" w:type="dxa"/>
            </w:tcMar>
            <w:vAlign w:val="center"/>
          </w:tcPr>
          <w:p w:rsidR="005A6F60" w:rsidRDefault="00B31863">
            <w:pPr>
              <w:keepNext/>
              <w:keepLines/>
              <w:spacing w:after="0" w:line="240" w:lineRule="auto"/>
            </w:pPr>
            <w:r>
              <w:rPr>
                <w:sz w:val="18"/>
              </w:rPr>
              <w:t>Y004</w:t>
            </w:r>
          </w:p>
        </w:tc>
        <w:tc>
          <w:tcPr>
            <w:tcW w:w="1860" w:type="dxa"/>
            <w:tcMar>
              <w:top w:w="0" w:type="dxa"/>
              <w:bottom w:w="0" w:type="dxa"/>
            </w:tcMar>
            <w:vAlign w:val="center"/>
          </w:tcPr>
          <w:p w:rsidR="005A6F60" w:rsidRDefault="00B31863">
            <w:pPr>
              <w:keepNext/>
              <w:keepLines/>
              <w:spacing w:after="0" w:line="240" w:lineRule="auto"/>
              <w:jc w:val="right"/>
            </w:pPr>
            <w:r>
              <w:rPr>
                <w:sz w:val="18"/>
              </w:rPr>
              <w:t>0,00</w:t>
            </w:r>
          </w:p>
        </w:tc>
        <w:tc>
          <w:tcPr>
            <w:tcW w:w="1860" w:type="dxa"/>
            <w:tcMar>
              <w:top w:w="0" w:type="dxa"/>
              <w:bottom w:w="0" w:type="dxa"/>
            </w:tcMar>
            <w:vAlign w:val="center"/>
          </w:tcPr>
          <w:p w:rsidR="005A6F60" w:rsidRDefault="00B31863">
            <w:pPr>
              <w:keepNext/>
              <w:keepLines/>
              <w:spacing w:after="0" w:line="240" w:lineRule="auto"/>
              <w:jc w:val="right"/>
            </w:pPr>
            <w:r>
              <w:rPr>
                <w:sz w:val="18"/>
              </w:rPr>
              <w:t>399.613,08</w:t>
            </w:r>
          </w:p>
        </w:tc>
        <w:tc>
          <w:tcPr>
            <w:tcW w:w="700" w:type="dxa"/>
            <w:tcMar>
              <w:top w:w="0" w:type="dxa"/>
              <w:bottom w:w="0" w:type="dxa"/>
            </w:tcMar>
            <w:vAlign w:val="center"/>
          </w:tcPr>
          <w:p w:rsidR="005A6F60" w:rsidRDefault="00B31863">
            <w:pPr>
              <w:keepNext/>
              <w:keepLines/>
              <w:spacing w:after="0" w:line="240" w:lineRule="auto"/>
              <w:jc w:val="right"/>
            </w:pPr>
            <w:r>
              <w:rPr>
                <w:sz w:val="18"/>
              </w:rPr>
              <w:t>-</w:t>
            </w:r>
          </w:p>
        </w:tc>
      </w:tr>
    </w:tbl>
    <w:p w:rsidR="005A6F60" w:rsidRDefault="005A6F60">
      <w:pPr>
        <w:spacing w:after="0"/>
      </w:pPr>
    </w:p>
    <w:p w:rsidR="005A6F60" w:rsidRDefault="00B31863">
      <w:r>
        <w:t>Šifra Y004    Ukupan manjak prihoda iznosi 399.613,08 eura. Nakon provedene korekcije rezultata za nabavu nefinancijske imovine manjak prihoda se odnosi na nabavu nefinancijske imovine koja se financira prihodima iz poslovanja, te nabavu opreme iz projekta</w:t>
      </w:r>
      <w:r>
        <w:t xml:space="preserve"> HRZZ-a, te na trošak 13. plaće i prijevoza iz Državnog proračuna za plaću 12/2025. – metodološki manjak iz izvora 11.</w:t>
      </w:r>
    </w:p>
    <w:p w:rsidR="005A6F60" w:rsidRDefault="005A6F60"/>
    <w:p w:rsidR="005A6F60" w:rsidRDefault="00B31863">
      <w:pPr>
        <w:keepNext/>
        <w:spacing w:line="240" w:lineRule="auto"/>
        <w:jc w:val="center"/>
      </w:pPr>
      <w:r>
        <w:rPr>
          <w:sz w:val="28"/>
        </w:rPr>
        <w:lastRenderedPageBreak/>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w:t>
            </w:r>
            <w:r>
              <w:rPr>
                <w:b/>
                <w:sz w:val="18"/>
              </w:rPr>
              <w:t>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5A6F60">
            <w:pPr>
              <w:keepNext/>
              <w:keepLines/>
              <w:spacing w:after="0" w:line="240" w:lineRule="auto"/>
            </w:pPr>
          </w:p>
        </w:tc>
        <w:tc>
          <w:tcPr>
            <w:tcW w:w="3180" w:type="dxa"/>
            <w:tcMar>
              <w:top w:w="0" w:type="dxa"/>
              <w:bottom w:w="0" w:type="dxa"/>
            </w:tcMar>
            <w:vAlign w:val="center"/>
          </w:tcPr>
          <w:p w:rsidR="005A6F60" w:rsidRDefault="00B31863">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rsidR="005A6F60" w:rsidRDefault="00B31863">
            <w:pPr>
              <w:keepNext/>
              <w:keepLines/>
              <w:spacing w:after="0" w:line="240" w:lineRule="auto"/>
            </w:pPr>
            <w:r>
              <w:rPr>
                <w:sz w:val="18"/>
              </w:rPr>
              <w:t>X006</w:t>
            </w:r>
          </w:p>
        </w:tc>
        <w:tc>
          <w:tcPr>
            <w:tcW w:w="1860" w:type="dxa"/>
            <w:tcMar>
              <w:top w:w="0" w:type="dxa"/>
              <w:bottom w:w="0" w:type="dxa"/>
            </w:tcMar>
            <w:vAlign w:val="center"/>
          </w:tcPr>
          <w:p w:rsidR="005A6F60" w:rsidRDefault="00B31863">
            <w:pPr>
              <w:keepNext/>
              <w:keepLines/>
              <w:spacing w:after="0" w:line="240" w:lineRule="auto"/>
              <w:jc w:val="right"/>
            </w:pPr>
            <w:r>
              <w:rPr>
                <w:sz w:val="18"/>
              </w:rPr>
              <w:t>2.418.979,70</w:t>
            </w:r>
          </w:p>
        </w:tc>
        <w:tc>
          <w:tcPr>
            <w:tcW w:w="1860" w:type="dxa"/>
            <w:tcMar>
              <w:top w:w="0" w:type="dxa"/>
              <w:bottom w:w="0" w:type="dxa"/>
            </w:tcMar>
            <w:vAlign w:val="center"/>
          </w:tcPr>
          <w:p w:rsidR="005A6F60" w:rsidRDefault="00B31863">
            <w:pPr>
              <w:keepNext/>
              <w:keepLines/>
              <w:spacing w:after="0" w:line="240" w:lineRule="auto"/>
              <w:jc w:val="right"/>
            </w:pPr>
            <w:r>
              <w:rPr>
                <w:sz w:val="18"/>
              </w:rPr>
              <w:t>2.019.366,62</w:t>
            </w:r>
          </w:p>
        </w:tc>
        <w:tc>
          <w:tcPr>
            <w:tcW w:w="700" w:type="dxa"/>
            <w:tcMar>
              <w:top w:w="0" w:type="dxa"/>
              <w:bottom w:w="0" w:type="dxa"/>
            </w:tcMar>
            <w:vAlign w:val="center"/>
          </w:tcPr>
          <w:p w:rsidR="005A6F60" w:rsidRDefault="00B31863">
            <w:pPr>
              <w:keepNext/>
              <w:keepLines/>
              <w:spacing w:after="0" w:line="240" w:lineRule="auto"/>
              <w:jc w:val="right"/>
            </w:pPr>
            <w:r>
              <w:rPr>
                <w:sz w:val="18"/>
              </w:rPr>
              <w:t>83,5</w:t>
            </w:r>
          </w:p>
        </w:tc>
      </w:tr>
    </w:tbl>
    <w:p w:rsidR="005A6F60" w:rsidRDefault="005A6F60">
      <w:pPr>
        <w:spacing w:after="0"/>
      </w:pPr>
    </w:p>
    <w:p w:rsidR="005A6F60" w:rsidRDefault="00B31863">
      <w:r>
        <w:t>Šifra X006    Višak prihoda i primitaka raspoloživ u sljedećem razdoblju iznosi 2.019.366,62 eura što je za 16,5% manje u odnosu na prošlu godinu, zbog iskazanog metodološkog manjka.</w:t>
      </w:r>
    </w:p>
    <w:p w:rsidR="005A6F60" w:rsidRDefault="005A6F60"/>
    <w:p w:rsidR="005A6F60" w:rsidRDefault="00B31863">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w:t>
            </w:r>
            <w:r>
              <w:rPr>
                <w:b/>
                <w:sz w:val="18"/>
              </w:rPr>
              <w:t>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19</w:t>
            </w:r>
          </w:p>
        </w:tc>
        <w:tc>
          <w:tcPr>
            <w:tcW w:w="3180" w:type="dxa"/>
            <w:tcMar>
              <w:top w:w="0" w:type="dxa"/>
              <w:bottom w:w="0" w:type="dxa"/>
            </w:tcMar>
            <w:vAlign w:val="center"/>
          </w:tcPr>
          <w:p w:rsidR="005A6F60" w:rsidRDefault="00B31863">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rsidR="005A6F60" w:rsidRDefault="00B31863">
            <w:pPr>
              <w:keepNext/>
              <w:keepLines/>
              <w:spacing w:after="0" w:line="240" w:lineRule="auto"/>
            </w:pPr>
            <w:r>
              <w:rPr>
                <w:sz w:val="18"/>
              </w:rPr>
              <w:t>19</w:t>
            </w:r>
          </w:p>
        </w:tc>
        <w:tc>
          <w:tcPr>
            <w:tcW w:w="1860" w:type="dxa"/>
            <w:tcMar>
              <w:top w:w="0" w:type="dxa"/>
              <w:bottom w:w="0" w:type="dxa"/>
            </w:tcMar>
            <w:vAlign w:val="center"/>
          </w:tcPr>
          <w:p w:rsidR="005A6F60" w:rsidRDefault="00B31863">
            <w:pPr>
              <w:keepNext/>
              <w:keepLines/>
              <w:spacing w:after="0" w:line="240" w:lineRule="auto"/>
              <w:jc w:val="right"/>
            </w:pPr>
            <w:r>
              <w:rPr>
                <w:sz w:val="18"/>
              </w:rPr>
              <w:t>652.198,64</w:t>
            </w:r>
          </w:p>
        </w:tc>
        <w:tc>
          <w:tcPr>
            <w:tcW w:w="1860" w:type="dxa"/>
            <w:tcMar>
              <w:top w:w="0" w:type="dxa"/>
              <w:bottom w:w="0" w:type="dxa"/>
            </w:tcMar>
            <w:vAlign w:val="center"/>
          </w:tcPr>
          <w:p w:rsidR="005A6F60" w:rsidRDefault="00B31863">
            <w:pPr>
              <w:keepNext/>
              <w:keepLines/>
              <w:spacing w:after="0" w:line="240" w:lineRule="auto"/>
              <w:jc w:val="right"/>
            </w:pPr>
            <w:r>
              <w:rPr>
                <w:sz w:val="18"/>
              </w:rPr>
              <w:t>0,00</w:t>
            </w:r>
          </w:p>
        </w:tc>
        <w:tc>
          <w:tcPr>
            <w:tcW w:w="700" w:type="dxa"/>
            <w:tcMar>
              <w:top w:w="0" w:type="dxa"/>
              <w:bottom w:w="0" w:type="dxa"/>
            </w:tcMar>
            <w:vAlign w:val="center"/>
          </w:tcPr>
          <w:p w:rsidR="005A6F60" w:rsidRDefault="00B31863">
            <w:pPr>
              <w:keepNext/>
              <w:keepLines/>
              <w:spacing w:after="0" w:line="240" w:lineRule="auto"/>
              <w:jc w:val="right"/>
            </w:pPr>
            <w:r>
              <w:rPr>
                <w:sz w:val="18"/>
              </w:rPr>
              <w:t>0</w:t>
            </w:r>
          </w:p>
        </w:tc>
      </w:tr>
    </w:tbl>
    <w:p w:rsidR="005A6F60" w:rsidRDefault="005A6F60">
      <w:pPr>
        <w:spacing w:after="0"/>
      </w:pPr>
    </w:p>
    <w:p w:rsidR="005A6F60" w:rsidRDefault="00B31863">
      <w:r>
        <w:t>Rashodi budućih razdoblja (aktivna vremenska razgraničenja) odnose se na kontinuirane rashode budućih razdoblja kojih ove godine nismo imali, ukidanjem podskupine 193 prema novom Pravilniku o proračunskom računovodstvu i računskom planu.</w:t>
      </w:r>
    </w:p>
    <w:p w:rsidR="005A6F60" w:rsidRDefault="005A6F60"/>
    <w:p w:rsidR="005A6F60" w:rsidRDefault="00B31863">
      <w:pPr>
        <w:keepNext/>
        <w:spacing w:line="240" w:lineRule="auto"/>
        <w:jc w:val="center"/>
      </w:pPr>
      <w:r>
        <w:rPr>
          <w:b/>
          <w:sz w:val="28"/>
        </w:rPr>
        <w:t>Bilanca</w:t>
      </w:r>
    </w:p>
    <w:p w:rsidR="005A6F60" w:rsidRDefault="00B31863">
      <w:pPr>
        <w:keepNext/>
        <w:spacing w:line="240" w:lineRule="auto"/>
        <w:jc w:val="center"/>
      </w:pPr>
      <w:r>
        <w:rPr>
          <w:sz w:val="28"/>
        </w:rPr>
        <w:t xml:space="preserve">Bilješka </w:t>
      </w:r>
      <w:r>
        <w:rPr>
          <w:sz w:val="28"/>
        </w:rPr>
        <w:t>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0212</w:t>
            </w:r>
          </w:p>
        </w:tc>
        <w:tc>
          <w:tcPr>
            <w:tcW w:w="3180" w:type="dxa"/>
            <w:tcMar>
              <w:top w:w="0" w:type="dxa"/>
              <w:bottom w:w="0" w:type="dxa"/>
            </w:tcMar>
            <w:vAlign w:val="center"/>
          </w:tcPr>
          <w:p w:rsidR="005A6F60" w:rsidRDefault="00B31863">
            <w:pPr>
              <w:keepNext/>
              <w:keepLines/>
              <w:spacing w:after="0" w:line="240" w:lineRule="auto"/>
            </w:pPr>
            <w:r>
              <w:rPr>
                <w:sz w:val="18"/>
              </w:rPr>
              <w:t>Poslovni objekti</w:t>
            </w:r>
          </w:p>
        </w:tc>
        <w:tc>
          <w:tcPr>
            <w:tcW w:w="700" w:type="dxa"/>
            <w:tcMar>
              <w:top w:w="0" w:type="dxa"/>
              <w:bottom w:w="0" w:type="dxa"/>
            </w:tcMar>
            <w:vAlign w:val="center"/>
          </w:tcPr>
          <w:p w:rsidR="005A6F60" w:rsidRDefault="00B31863">
            <w:pPr>
              <w:keepNext/>
              <w:keepLines/>
              <w:spacing w:after="0" w:line="240" w:lineRule="auto"/>
            </w:pPr>
            <w:r>
              <w:rPr>
                <w:sz w:val="18"/>
              </w:rPr>
              <w:t>0212</w:t>
            </w:r>
          </w:p>
        </w:tc>
        <w:tc>
          <w:tcPr>
            <w:tcW w:w="1860" w:type="dxa"/>
            <w:tcMar>
              <w:top w:w="0" w:type="dxa"/>
              <w:bottom w:w="0" w:type="dxa"/>
            </w:tcMar>
            <w:vAlign w:val="center"/>
          </w:tcPr>
          <w:p w:rsidR="005A6F60" w:rsidRDefault="00B31863">
            <w:pPr>
              <w:keepNext/>
              <w:keepLines/>
              <w:spacing w:after="0" w:line="240" w:lineRule="auto"/>
              <w:jc w:val="right"/>
            </w:pPr>
            <w:r>
              <w:rPr>
                <w:sz w:val="18"/>
              </w:rPr>
              <w:t>1.786.034,27</w:t>
            </w:r>
          </w:p>
        </w:tc>
        <w:tc>
          <w:tcPr>
            <w:tcW w:w="1860" w:type="dxa"/>
            <w:tcMar>
              <w:top w:w="0" w:type="dxa"/>
              <w:bottom w:w="0" w:type="dxa"/>
            </w:tcMar>
            <w:vAlign w:val="center"/>
          </w:tcPr>
          <w:p w:rsidR="005A6F60" w:rsidRDefault="00B31863">
            <w:pPr>
              <w:keepNext/>
              <w:keepLines/>
              <w:spacing w:after="0" w:line="240" w:lineRule="auto"/>
              <w:jc w:val="right"/>
            </w:pPr>
            <w:r>
              <w:rPr>
                <w:sz w:val="18"/>
              </w:rPr>
              <w:t>2.242.636,78</w:t>
            </w:r>
          </w:p>
        </w:tc>
        <w:tc>
          <w:tcPr>
            <w:tcW w:w="700" w:type="dxa"/>
            <w:tcMar>
              <w:top w:w="0" w:type="dxa"/>
              <w:bottom w:w="0" w:type="dxa"/>
            </w:tcMar>
            <w:vAlign w:val="center"/>
          </w:tcPr>
          <w:p w:rsidR="005A6F60" w:rsidRDefault="00B31863">
            <w:pPr>
              <w:keepNext/>
              <w:keepLines/>
              <w:spacing w:after="0" w:line="240" w:lineRule="auto"/>
              <w:jc w:val="right"/>
            </w:pPr>
            <w:r>
              <w:rPr>
                <w:sz w:val="18"/>
              </w:rPr>
              <w:t>125,6</w:t>
            </w:r>
          </w:p>
        </w:tc>
      </w:tr>
    </w:tbl>
    <w:p w:rsidR="005A6F60" w:rsidRDefault="005A6F60">
      <w:pPr>
        <w:spacing w:after="0"/>
      </w:pPr>
    </w:p>
    <w:p w:rsidR="005A6F60" w:rsidRDefault="00B31863">
      <w:r>
        <w:t>Poslovni objekti – uložena sredstva iznose 456.602,51 eura za stjecanje nekretnine na adresi Gundulićeva 3 u svrhu korištenja za obavljanje osnovne djelatnosti održavanje nastave i znanstveno istraživačkog rada, što je povećanje ulaganja u imovinu od 25,6%</w:t>
      </w:r>
      <w:r>
        <w:t xml:space="preserve"> u odnosu na početno stanje 2025. godine.</w:t>
      </w:r>
    </w:p>
    <w:p w:rsidR="005A6F60" w:rsidRDefault="005A6F60"/>
    <w:p w:rsidR="005A6F60" w:rsidRDefault="00B31863">
      <w:pPr>
        <w:keepNext/>
        <w:spacing w:line="240" w:lineRule="auto"/>
        <w:jc w:val="center"/>
      </w:pPr>
      <w:r>
        <w:rPr>
          <w:sz w:val="28"/>
        </w:rPr>
        <w:lastRenderedPageBreak/>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022 i 02922</w:t>
            </w:r>
          </w:p>
        </w:tc>
        <w:tc>
          <w:tcPr>
            <w:tcW w:w="3180" w:type="dxa"/>
            <w:tcMar>
              <w:top w:w="0" w:type="dxa"/>
              <w:bottom w:w="0" w:type="dxa"/>
            </w:tcMar>
            <w:vAlign w:val="center"/>
          </w:tcPr>
          <w:p w:rsidR="005A6F60" w:rsidRDefault="00B31863">
            <w:pPr>
              <w:keepNext/>
              <w:keepLines/>
              <w:spacing w:after="0" w:line="240" w:lineRule="auto"/>
            </w:pPr>
            <w:r>
              <w:rPr>
                <w:sz w:val="18"/>
              </w:rPr>
              <w:t>Postrojenja i oprema (šifre 0221 do 0228 - 02922)</w:t>
            </w:r>
          </w:p>
        </w:tc>
        <w:tc>
          <w:tcPr>
            <w:tcW w:w="700" w:type="dxa"/>
            <w:tcMar>
              <w:top w:w="0" w:type="dxa"/>
              <w:bottom w:w="0" w:type="dxa"/>
            </w:tcMar>
            <w:vAlign w:val="center"/>
          </w:tcPr>
          <w:p w:rsidR="005A6F60" w:rsidRDefault="00B31863">
            <w:pPr>
              <w:keepNext/>
              <w:keepLines/>
              <w:spacing w:after="0" w:line="240" w:lineRule="auto"/>
            </w:pPr>
            <w:r>
              <w:rPr>
                <w:sz w:val="18"/>
              </w:rPr>
              <w:t>022 i 02922</w:t>
            </w:r>
          </w:p>
        </w:tc>
        <w:tc>
          <w:tcPr>
            <w:tcW w:w="1860" w:type="dxa"/>
            <w:tcMar>
              <w:top w:w="0" w:type="dxa"/>
              <w:bottom w:w="0" w:type="dxa"/>
            </w:tcMar>
            <w:vAlign w:val="center"/>
          </w:tcPr>
          <w:p w:rsidR="005A6F60" w:rsidRDefault="00B31863">
            <w:pPr>
              <w:keepNext/>
              <w:keepLines/>
              <w:spacing w:after="0" w:line="240" w:lineRule="auto"/>
              <w:jc w:val="right"/>
            </w:pPr>
            <w:r>
              <w:rPr>
                <w:sz w:val="18"/>
              </w:rPr>
              <w:t>818.242,34</w:t>
            </w:r>
          </w:p>
        </w:tc>
        <w:tc>
          <w:tcPr>
            <w:tcW w:w="1860" w:type="dxa"/>
            <w:tcMar>
              <w:top w:w="0" w:type="dxa"/>
              <w:bottom w:w="0" w:type="dxa"/>
            </w:tcMar>
            <w:vAlign w:val="center"/>
          </w:tcPr>
          <w:p w:rsidR="005A6F60" w:rsidRDefault="00B31863">
            <w:pPr>
              <w:keepNext/>
              <w:keepLines/>
              <w:spacing w:after="0" w:line="240" w:lineRule="auto"/>
              <w:jc w:val="right"/>
            </w:pPr>
            <w:r>
              <w:rPr>
                <w:sz w:val="18"/>
              </w:rPr>
              <w:t>794.760,19</w:t>
            </w:r>
          </w:p>
        </w:tc>
        <w:tc>
          <w:tcPr>
            <w:tcW w:w="700" w:type="dxa"/>
            <w:tcMar>
              <w:top w:w="0" w:type="dxa"/>
              <w:bottom w:w="0" w:type="dxa"/>
            </w:tcMar>
            <w:vAlign w:val="center"/>
          </w:tcPr>
          <w:p w:rsidR="005A6F60" w:rsidRDefault="00B31863">
            <w:pPr>
              <w:keepNext/>
              <w:keepLines/>
              <w:spacing w:after="0" w:line="240" w:lineRule="auto"/>
              <w:jc w:val="right"/>
            </w:pPr>
            <w:r>
              <w:rPr>
                <w:sz w:val="18"/>
              </w:rPr>
              <w:t>97,1</w:t>
            </w:r>
          </w:p>
        </w:tc>
      </w:tr>
    </w:tbl>
    <w:p w:rsidR="005A6F60" w:rsidRDefault="005A6F60">
      <w:pPr>
        <w:spacing w:after="0"/>
      </w:pPr>
    </w:p>
    <w:p w:rsidR="005A6F60" w:rsidRDefault="00B31863">
      <w:r>
        <w:t>Postrojenje i oprema iznosi manje za 2,9% u odnosu na prethodnu godinu, neznatno povećanje odnosi se za nabavu računalne opreme, uredskog namještaja i instrumenata i uređaja.</w:t>
      </w:r>
    </w:p>
    <w:p w:rsidR="005A6F60" w:rsidRDefault="005A6F60"/>
    <w:p w:rsidR="005A6F60" w:rsidRDefault="00B31863">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Stanje 31.</w:t>
            </w:r>
            <w:r>
              <w:rPr>
                <w:b/>
                <w:sz w:val="18"/>
              </w:rPr>
              <w:t xml:space="preserve"> prosinca</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024 i 02924</w:t>
            </w:r>
          </w:p>
        </w:tc>
        <w:tc>
          <w:tcPr>
            <w:tcW w:w="3180" w:type="dxa"/>
            <w:tcMar>
              <w:top w:w="0" w:type="dxa"/>
              <w:bottom w:w="0" w:type="dxa"/>
            </w:tcMar>
            <w:vAlign w:val="center"/>
          </w:tcPr>
          <w:p w:rsidR="005A6F60" w:rsidRDefault="00B31863">
            <w:pPr>
              <w:keepNext/>
              <w:keepLines/>
              <w:spacing w:after="0" w:line="240" w:lineRule="auto"/>
            </w:pPr>
            <w:r>
              <w:rPr>
                <w:sz w:val="18"/>
              </w:rPr>
              <w:t>Knjige, umjetnička djela i ostale izložbene vrijednosti (šifre 0241 do 0244 - 02924)</w:t>
            </w:r>
          </w:p>
        </w:tc>
        <w:tc>
          <w:tcPr>
            <w:tcW w:w="700" w:type="dxa"/>
            <w:tcMar>
              <w:top w:w="0" w:type="dxa"/>
              <w:bottom w:w="0" w:type="dxa"/>
            </w:tcMar>
            <w:vAlign w:val="center"/>
          </w:tcPr>
          <w:p w:rsidR="005A6F60" w:rsidRDefault="00B31863">
            <w:pPr>
              <w:keepNext/>
              <w:keepLines/>
              <w:spacing w:after="0" w:line="240" w:lineRule="auto"/>
            </w:pPr>
            <w:r>
              <w:rPr>
                <w:sz w:val="18"/>
              </w:rPr>
              <w:t>024 i 02924</w:t>
            </w:r>
          </w:p>
        </w:tc>
        <w:tc>
          <w:tcPr>
            <w:tcW w:w="1860" w:type="dxa"/>
            <w:tcMar>
              <w:top w:w="0" w:type="dxa"/>
              <w:bottom w:w="0" w:type="dxa"/>
            </w:tcMar>
            <w:vAlign w:val="center"/>
          </w:tcPr>
          <w:p w:rsidR="005A6F60" w:rsidRDefault="00B31863">
            <w:pPr>
              <w:keepNext/>
              <w:keepLines/>
              <w:spacing w:after="0" w:line="240" w:lineRule="auto"/>
              <w:jc w:val="right"/>
            </w:pPr>
            <w:r>
              <w:rPr>
                <w:sz w:val="18"/>
              </w:rPr>
              <w:t>39.093,36</w:t>
            </w:r>
          </w:p>
        </w:tc>
        <w:tc>
          <w:tcPr>
            <w:tcW w:w="1860" w:type="dxa"/>
            <w:tcMar>
              <w:top w:w="0" w:type="dxa"/>
              <w:bottom w:w="0" w:type="dxa"/>
            </w:tcMar>
            <w:vAlign w:val="center"/>
          </w:tcPr>
          <w:p w:rsidR="005A6F60" w:rsidRDefault="00B31863">
            <w:pPr>
              <w:keepNext/>
              <w:keepLines/>
              <w:spacing w:after="0" w:line="240" w:lineRule="auto"/>
              <w:jc w:val="right"/>
            </w:pPr>
            <w:r>
              <w:rPr>
                <w:sz w:val="18"/>
              </w:rPr>
              <w:t>32.382,39</w:t>
            </w:r>
          </w:p>
        </w:tc>
        <w:tc>
          <w:tcPr>
            <w:tcW w:w="700" w:type="dxa"/>
            <w:tcMar>
              <w:top w:w="0" w:type="dxa"/>
              <w:bottom w:w="0" w:type="dxa"/>
            </w:tcMar>
            <w:vAlign w:val="center"/>
          </w:tcPr>
          <w:p w:rsidR="005A6F60" w:rsidRDefault="00B31863">
            <w:pPr>
              <w:keepNext/>
              <w:keepLines/>
              <w:spacing w:after="0" w:line="240" w:lineRule="auto"/>
              <w:jc w:val="right"/>
            </w:pPr>
            <w:r>
              <w:rPr>
                <w:sz w:val="18"/>
              </w:rPr>
              <w:t>82,8</w:t>
            </w:r>
          </w:p>
        </w:tc>
      </w:tr>
    </w:tbl>
    <w:p w:rsidR="005A6F60" w:rsidRDefault="005A6F60">
      <w:pPr>
        <w:spacing w:after="0"/>
      </w:pPr>
    </w:p>
    <w:p w:rsidR="005A6F60" w:rsidRDefault="00B31863">
      <w:r>
        <w:t>Knjige, umjetnička djela i ostale izložbene vrijednosti – u odnosu na prethodnu godinu smanjenje. Knjige su povećane za 4,2%, povećanje se odnosi na nabavu i donaciju knjiga Središnjoj stomatološkoj knjižnici dok se povećao ispravak vrijednosti knjiga od 1</w:t>
      </w:r>
      <w:r>
        <w:t>8,8% temeljem provedene zadnje cjelokupne revizije knjižnog fonda.</w:t>
      </w:r>
    </w:p>
    <w:p w:rsidR="005A6F60" w:rsidRDefault="005A6F60"/>
    <w:p w:rsidR="005A6F60" w:rsidRDefault="00B31863">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0262</w:t>
            </w:r>
          </w:p>
        </w:tc>
        <w:tc>
          <w:tcPr>
            <w:tcW w:w="3180" w:type="dxa"/>
            <w:tcMar>
              <w:top w:w="0" w:type="dxa"/>
              <w:bottom w:w="0" w:type="dxa"/>
            </w:tcMar>
            <w:vAlign w:val="center"/>
          </w:tcPr>
          <w:p w:rsidR="005A6F60" w:rsidRDefault="00B31863">
            <w:pPr>
              <w:keepNext/>
              <w:keepLines/>
              <w:spacing w:after="0" w:line="240" w:lineRule="auto"/>
            </w:pPr>
            <w:r>
              <w:rPr>
                <w:sz w:val="18"/>
              </w:rPr>
              <w:t>Ulaganja u računalne programe</w:t>
            </w:r>
          </w:p>
        </w:tc>
        <w:tc>
          <w:tcPr>
            <w:tcW w:w="700" w:type="dxa"/>
            <w:tcMar>
              <w:top w:w="0" w:type="dxa"/>
              <w:bottom w:w="0" w:type="dxa"/>
            </w:tcMar>
            <w:vAlign w:val="center"/>
          </w:tcPr>
          <w:p w:rsidR="005A6F60" w:rsidRDefault="00B31863">
            <w:pPr>
              <w:keepNext/>
              <w:keepLines/>
              <w:spacing w:after="0" w:line="240" w:lineRule="auto"/>
            </w:pPr>
            <w:r>
              <w:rPr>
                <w:sz w:val="18"/>
              </w:rPr>
              <w:t>0262</w:t>
            </w:r>
          </w:p>
        </w:tc>
        <w:tc>
          <w:tcPr>
            <w:tcW w:w="1860" w:type="dxa"/>
            <w:tcMar>
              <w:top w:w="0" w:type="dxa"/>
              <w:bottom w:w="0" w:type="dxa"/>
            </w:tcMar>
            <w:vAlign w:val="center"/>
          </w:tcPr>
          <w:p w:rsidR="005A6F60" w:rsidRDefault="00B31863">
            <w:pPr>
              <w:keepNext/>
              <w:keepLines/>
              <w:spacing w:after="0" w:line="240" w:lineRule="auto"/>
              <w:jc w:val="right"/>
            </w:pPr>
            <w:r>
              <w:rPr>
                <w:sz w:val="18"/>
              </w:rPr>
              <w:t>18.683,06</w:t>
            </w:r>
          </w:p>
        </w:tc>
        <w:tc>
          <w:tcPr>
            <w:tcW w:w="1860" w:type="dxa"/>
            <w:tcMar>
              <w:top w:w="0" w:type="dxa"/>
              <w:bottom w:w="0" w:type="dxa"/>
            </w:tcMar>
            <w:vAlign w:val="center"/>
          </w:tcPr>
          <w:p w:rsidR="005A6F60" w:rsidRDefault="00B31863">
            <w:pPr>
              <w:keepNext/>
              <w:keepLines/>
              <w:spacing w:after="0" w:line="240" w:lineRule="auto"/>
              <w:jc w:val="right"/>
            </w:pPr>
            <w:r>
              <w:rPr>
                <w:sz w:val="18"/>
              </w:rPr>
              <w:t>48.755,09</w:t>
            </w:r>
          </w:p>
        </w:tc>
        <w:tc>
          <w:tcPr>
            <w:tcW w:w="700" w:type="dxa"/>
            <w:tcMar>
              <w:top w:w="0" w:type="dxa"/>
              <w:bottom w:w="0" w:type="dxa"/>
            </w:tcMar>
            <w:vAlign w:val="center"/>
          </w:tcPr>
          <w:p w:rsidR="005A6F60" w:rsidRDefault="00B31863">
            <w:pPr>
              <w:keepNext/>
              <w:keepLines/>
              <w:spacing w:after="0" w:line="240" w:lineRule="auto"/>
              <w:jc w:val="right"/>
            </w:pPr>
            <w:r>
              <w:rPr>
                <w:sz w:val="18"/>
              </w:rPr>
              <w:t>261,0</w:t>
            </w:r>
          </w:p>
        </w:tc>
      </w:tr>
    </w:tbl>
    <w:p w:rsidR="005A6F60" w:rsidRDefault="005A6F60">
      <w:pPr>
        <w:spacing w:after="0"/>
      </w:pPr>
    </w:p>
    <w:p w:rsidR="005A6F60" w:rsidRDefault="00B31863">
      <w:r>
        <w:t>Ulaganja u računalne programe je znatno povećano radi ulaganja u digitalizaciju poslovnih procesa nabavljen je računalni sustav financijsko-računovodstvenog poslovanja s elektroničkim odobravanjem računa.</w:t>
      </w:r>
    </w:p>
    <w:p w:rsidR="005A6F60" w:rsidRDefault="005A6F60"/>
    <w:p w:rsidR="005A6F60" w:rsidRDefault="00B31863">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1112</w:t>
            </w:r>
          </w:p>
        </w:tc>
        <w:tc>
          <w:tcPr>
            <w:tcW w:w="3180" w:type="dxa"/>
            <w:tcMar>
              <w:top w:w="0" w:type="dxa"/>
              <w:bottom w:w="0" w:type="dxa"/>
            </w:tcMar>
            <w:vAlign w:val="center"/>
          </w:tcPr>
          <w:p w:rsidR="005A6F60" w:rsidRDefault="00B31863">
            <w:pPr>
              <w:keepNext/>
              <w:keepLines/>
              <w:spacing w:after="0" w:line="240" w:lineRule="auto"/>
            </w:pPr>
            <w:r>
              <w:rPr>
                <w:sz w:val="18"/>
              </w:rPr>
              <w:t>Novac na računu kod tuzemnih poslovnih banaka</w:t>
            </w:r>
          </w:p>
        </w:tc>
        <w:tc>
          <w:tcPr>
            <w:tcW w:w="700" w:type="dxa"/>
            <w:tcMar>
              <w:top w:w="0" w:type="dxa"/>
              <w:bottom w:w="0" w:type="dxa"/>
            </w:tcMar>
            <w:vAlign w:val="center"/>
          </w:tcPr>
          <w:p w:rsidR="005A6F60" w:rsidRDefault="00B31863">
            <w:pPr>
              <w:keepNext/>
              <w:keepLines/>
              <w:spacing w:after="0" w:line="240" w:lineRule="auto"/>
            </w:pPr>
            <w:r>
              <w:rPr>
                <w:sz w:val="18"/>
              </w:rPr>
              <w:t>1112</w:t>
            </w:r>
          </w:p>
        </w:tc>
        <w:tc>
          <w:tcPr>
            <w:tcW w:w="1860" w:type="dxa"/>
            <w:tcMar>
              <w:top w:w="0" w:type="dxa"/>
              <w:bottom w:w="0" w:type="dxa"/>
            </w:tcMar>
            <w:vAlign w:val="center"/>
          </w:tcPr>
          <w:p w:rsidR="005A6F60" w:rsidRDefault="00B31863">
            <w:pPr>
              <w:keepNext/>
              <w:keepLines/>
              <w:spacing w:after="0" w:line="240" w:lineRule="auto"/>
              <w:jc w:val="right"/>
            </w:pPr>
            <w:r>
              <w:rPr>
                <w:sz w:val="18"/>
              </w:rPr>
              <w:t>2.505.563,23</w:t>
            </w:r>
          </w:p>
        </w:tc>
        <w:tc>
          <w:tcPr>
            <w:tcW w:w="1860" w:type="dxa"/>
            <w:tcMar>
              <w:top w:w="0" w:type="dxa"/>
              <w:bottom w:w="0" w:type="dxa"/>
            </w:tcMar>
            <w:vAlign w:val="center"/>
          </w:tcPr>
          <w:p w:rsidR="005A6F60" w:rsidRDefault="00B31863">
            <w:pPr>
              <w:keepNext/>
              <w:keepLines/>
              <w:spacing w:after="0" w:line="240" w:lineRule="auto"/>
              <w:jc w:val="right"/>
            </w:pPr>
            <w:r>
              <w:rPr>
                <w:sz w:val="18"/>
              </w:rPr>
              <w:t>2.763.287,97</w:t>
            </w:r>
          </w:p>
        </w:tc>
        <w:tc>
          <w:tcPr>
            <w:tcW w:w="700" w:type="dxa"/>
            <w:tcMar>
              <w:top w:w="0" w:type="dxa"/>
              <w:bottom w:w="0" w:type="dxa"/>
            </w:tcMar>
            <w:vAlign w:val="center"/>
          </w:tcPr>
          <w:p w:rsidR="005A6F60" w:rsidRDefault="00B31863">
            <w:pPr>
              <w:keepNext/>
              <w:keepLines/>
              <w:spacing w:after="0" w:line="240" w:lineRule="auto"/>
              <w:jc w:val="right"/>
            </w:pPr>
            <w:r>
              <w:rPr>
                <w:sz w:val="18"/>
              </w:rPr>
              <w:t>110,3</w:t>
            </w:r>
          </w:p>
        </w:tc>
      </w:tr>
    </w:tbl>
    <w:p w:rsidR="005A6F60" w:rsidRDefault="005A6F60">
      <w:pPr>
        <w:spacing w:after="0"/>
      </w:pPr>
    </w:p>
    <w:p w:rsidR="005A6F60" w:rsidRDefault="00B31863">
      <w:r>
        <w:lastRenderedPageBreak/>
        <w:t xml:space="preserve">Iznos sredstava na žiro računu veći je za 257.724,74 eura u odnosu na početak razdoblja radi više uplaćenih školarina za nastavu na specijalističkim studijima Dentalna implantologija i Dentalna endodoncija i restaurativna stomatologija, doktorskom studiju </w:t>
      </w:r>
      <w:r>
        <w:t>Dentalne medicine, provedenog znanstvenog istraživanja, doznake sredstava za provedbu HRZZ projekta, projekta „Generativno konstruiranje za masovnu personalizaciju dentalne implantoprotetske nadogradnje“kod poziva NPOO.C3.2.R3-I1.04.0121, naziv poziva Cilj</w:t>
      </w:r>
      <w:r>
        <w:t>ana znanstvena istraživanja te NPOO projekata izvedbene komponente iz programskih ugovora.</w:t>
      </w:r>
    </w:p>
    <w:p w:rsidR="005A6F60" w:rsidRDefault="005A6F60"/>
    <w:p w:rsidR="005A6F60" w:rsidRDefault="00B31863">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129</w:t>
            </w:r>
          </w:p>
        </w:tc>
        <w:tc>
          <w:tcPr>
            <w:tcW w:w="3180" w:type="dxa"/>
            <w:tcMar>
              <w:top w:w="0" w:type="dxa"/>
              <w:bottom w:w="0" w:type="dxa"/>
            </w:tcMar>
            <w:vAlign w:val="center"/>
          </w:tcPr>
          <w:p w:rsidR="005A6F60" w:rsidRDefault="00B31863">
            <w:pPr>
              <w:keepNext/>
              <w:keepLines/>
              <w:spacing w:after="0" w:line="240" w:lineRule="auto"/>
            </w:pPr>
            <w:r>
              <w:rPr>
                <w:sz w:val="18"/>
              </w:rPr>
              <w:t>Ostala potraživanja</w:t>
            </w:r>
          </w:p>
        </w:tc>
        <w:tc>
          <w:tcPr>
            <w:tcW w:w="700" w:type="dxa"/>
            <w:tcMar>
              <w:top w:w="0" w:type="dxa"/>
              <w:bottom w:w="0" w:type="dxa"/>
            </w:tcMar>
            <w:vAlign w:val="center"/>
          </w:tcPr>
          <w:p w:rsidR="005A6F60" w:rsidRDefault="00B31863">
            <w:pPr>
              <w:keepNext/>
              <w:keepLines/>
              <w:spacing w:after="0" w:line="240" w:lineRule="auto"/>
            </w:pPr>
            <w:r>
              <w:rPr>
                <w:sz w:val="18"/>
              </w:rPr>
              <w:t>129</w:t>
            </w:r>
          </w:p>
        </w:tc>
        <w:tc>
          <w:tcPr>
            <w:tcW w:w="1860" w:type="dxa"/>
            <w:tcMar>
              <w:top w:w="0" w:type="dxa"/>
              <w:bottom w:w="0" w:type="dxa"/>
            </w:tcMar>
            <w:vAlign w:val="center"/>
          </w:tcPr>
          <w:p w:rsidR="005A6F60" w:rsidRDefault="00B31863">
            <w:pPr>
              <w:keepNext/>
              <w:keepLines/>
              <w:spacing w:after="0" w:line="240" w:lineRule="auto"/>
              <w:jc w:val="right"/>
            </w:pPr>
            <w:r>
              <w:rPr>
                <w:sz w:val="18"/>
              </w:rPr>
              <w:t>11.605,47</w:t>
            </w:r>
          </w:p>
        </w:tc>
        <w:tc>
          <w:tcPr>
            <w:tcW w:w="1860" w:type="dxa"/>
            <w:tcMar>
              <w:top w:w="0" w:type="dxa"/>
              <w:bottom w:w="0" w:type="dxa"/>
            </w:tcMar>
            <w:vAlign w:val="center"/>
          </w:tcPr>
          <w:p w:rsidR="005A6F60" w:rsidRDefault="00B31863">
            <w:pPr>
              <w:keepNext/>
              <w:keepLines/>
              <w:spacing w:after="0" w:line="240" w:lineRule="auto"/>
              <w:jc w:val="right"/>
            </w:pPr>
            <w:r>
              <w:rPr>
                <w:sz w:val="18"/>
              </w:rPr>
              <w:t>29.094,11</w:t>
            </w:r>
          </w:p>
        </w:tc>
        <w:tc>
          <w:tcPr>
            <w:tcW w:w="700" w:type="dxa"/>
            <w:tcMar>
              <w:top w:w="0" w:type="dxa"/>
              <w:bottom w:w="0" w:type="dxa"/>
            </w:tcMar>
            <w:vAlign w:val="center"/>
          </w:tcPr>
          <w:p w:rsidR="005A6F60" w:rsidRDefault="00B31863">
            <w:pPr>
              <w:keepNext/>
              <w:keepLines/>
              <w:spacing w:after="0" w:line="240" w:lineRule="auto"/>
              <w:jc w:val="right"/>
            </w:pPr>
            <w:r>
              <w:rPr>
                <w:sz w:val="18"/>
              </w:rPr>
              <w:t>250,7</w:t>
            </w:r>
          </w:p>
        </w:tc>
      </w:tr>
    </w:tbl>
    <w:p w:rsidR="005A6F60" w:rsidRDefault="005A6F60">
      <w:pPr>
        <w:spacing w:after="0"/>
      </w:pPr>
    </w:p>
    <w:p w:rsidR="005A6F60" w:rsidRDefault="00B31863">
      <w:r>
        <w:t>Ostala potraživanja su u odnosu na prošlu godinu veća za 150,7%. Značajno povećanje se odnosi na potraživanja za refundacije bolovanje na teret HZZO-a jer iako su redovito radili refundacije kompenzacijama povećao se broj bolovanja zaposlenika, a samim tim</w:t>
      </w:r>
      <w:r>
        <w:t>e i iznos za refundaciju. Značajno smanjenje potraživanja za predujmove jer smo uveli plaćanje temeljem primljenog eRačuna, a samo u iznimnim situacijama danim predujmom. </w:t>
      </w:r>
    </w:p>
    <w:p w:rsidR="005A6F60" w:rsidRDefault="005A6F60"/>
    <w:p w:rsidR="005A6F60" w:rsidRDefault="00B31863">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Stanje 31. pr</w:t>
            </w:r>
            <w:r>
              <w:rPr>
                <w:b/>
                <w:sz w:val="18"/>
              </w:rPr>
              <w:t>osinca</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16</w:t>
            </w:r>
          </w:p>
        </w:tc>
        <w:tc>
          <w:tcPr>
            <w:tcW w:w="3180" w:type="dxa"/>
            <w:tcMar>
              <w:top w:w="0" w:type="dxa"/>
              <w:bottom w:w="0" w:type="dxa"/>
            </w:tcMar>
            <w:vAlign w:val="center"/>
          </w:tcPr>
          <w:p w:rsidR="005A6F60" w:rsidRDefault="00B31863">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rsidR="005A6F60" w:rsidRDefault="00B31863">
            <w:pPr>
              <w:keepNext/>
              <w:keepLines/>
              <w:spacing w:after="0" w:line="240" w:lineRule="auto"/>
            </w:pPr>
            <w:r>
              <w:rPr>
                <w:sz w:val="18"/>
              </w:rPr>
              <w:t>16</w:t>
            </w:r>
          </w:p>
        </w:tc>
        <w:tc>
          <w:tcPr>
            <w:tcW w:w="1860" w:type="dxa"/>
            <w:tcMar>
              <w:top w:w="0" w:type="dxa"/>
              <w:bottom w:w="0" w:type="dxa"/>
            </w:tcMar>
            <w:vAlign w:val="center"/>
          </w:tcPr>
          <w:p w:rsidR="005A6F60" w:rsidRDefault="00B31863">
            <w:pPr>
              <w:keepNext/>
              <w:keepLines/>
              <w:spacing w:after="0" w:line="240" w:lineRule="auto"/>
              <w:jc w:val="right"/>
            </w:pPr>
            <w:r>
              <w:rPr>
                <w:sz w:val="18"/>
              </w:rPr>
              <w:t>19.988,54</w:t>
            </w:r>
          </w:p>
        </w:tc>
        <w:tc>
          <w:tcPr>
            <w:tcW w:w="1860" w:type="dxa"/>
            <w:tcMar>
              <w:top w:w="0" w:type="dxa"/>
              <w:bottom w:w="0" w:type="dxa"/>
            </w:tcMar>
            <w:vAlign w:val="center"/>
          </w:tcPr>
          <w:p w:rsidR="005A6F60" w:rsidRDefault="00B31863">
            <w:pPr>
              <w:keepNext/>
              <w:keepLines/>
              <w:spacing w:after="0" w:line="240" w:lineRule="auto"/>
              <w:jc w:val="right"/>
            </w:pPr>
            <w:r>
              <w:rPr>
                <w:sz w:val="18"/>
              </w:rPr>
              <w:t>36.080,10</w:t>
            </w:r>
          </w:p>
        </w:tc>
        <w:tc>
          <w:tcPr>
            <w:tcW w:w="700" w:type="dxa"/>
            <w:tcMar>
              <w:top w:w="0" w:type="dxa"/>
              <w:bottom w:w="0" w:type="dxa"/>
            </w:tcMar>
            <w:vAlign w:val="center"/>
          </w:tcPr>
          <w:p w:rsidR="005A6F60" w:rsidRDefault="00B31863">
            <w:pPr>
              <w:keepNext/>
              <w:keepLines/>
              <w:spacing w:after="0" w:line="240" w:lineRule="auto"/>
              <w:jc w:val="right"/>
            </w:pPr>
            <w:r>
              <w:rPr>
                <w:sz w:val="18"/>
              </w:rPr>
              <w:t>180,5</w:t>
            </w:r>
          </w:p>
        </w:tc>
      </w:tr>
    </w:tbl>
    <w:p w:rsidR="005A6F60" w:rsidRDefault="005A6F60">
      <w:pPr>
        <w:spacing w:after="0"/>
      </w:pPr>
    </w:p>
    <w:p w:rsidR="005A6F60" w:rsidRDefault="00B31863">
      <w:r>
        <w:t>Potraživanja za prihode poslovanja veća su za 80,5%. Značajno povećanje za potraživanja za školarine u odnosu na prošlu godinu, odnosi se na 2. ratu uplate školarina i potraživanja su nedospjela. Smanjenje potraživanja od pruženih usluga radi bolje naplate</w:t>
      </w:r>
      <w:r>
        <w:t xml:space="preserve"> potraživanja u odnosu na prethodnu godinu.</w:t>
      </w:r>
    </w:p>
    <w:p w:rsidR="005A6F60" w:rsidRDefault="005A6F60"/>
    <w:p w:rsidR="005A6F60" w:rsidRDefault="00B31863">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5A6F60">
            <w:pPr>
              <w:keepNext/>
              <w:keepLines/>
              <w:spacing w:after="0" w:line="240" w:lineRule="auto"/>
            </w:pPr>
          </w:p>
        </w:tc>
        <w:tc>
          <w:tcPr>
            <w:tcW w:w="3180" w:type="dxa"/>
            <w:tcMar>
              <w:top w:w="0" w:type="dxa"/>
              <w:bottom w:w="0" w:type="dxa"/>
            </w:tcMar>
            <w:vAlign w:val="center"/>
          </w:tcPr>
          <w:p w:rsidR="005A6F60" w:rsidRDefault="00B31863">
            <w:pPr>
              <w:keepNext/>
              <w:keepLines/>
              <w:spacing w:after="0" w:line="240" w:lineRule="auto"/>
            </w:pPr>
            <w:r>
              <w:rPr>
                <w:sz w:val="18"/>
              </w:rPr>
              <w:t>OBVEZE I VLASTITI IZVORI (šifre 2+9)</w:t>
            </w:r>
          </w:p>
        </w:tc>
        <w:tc>
          <w:tcPr>
            <w:tcW w:w="700" w:type="dxa"/>
            <w:tcMar>
              <w:top w:w="0" w:type="dxa"/>
              <w:bottom w:w="0" w:type="dxa"/>
            </w:tcMar>
            <w:vAlign w:val="center"/>
          </w:tcPr>
          <w:p w:rsidR="005A6F60" w:rsidRDefault="00B31863">
            <w:pPr>
              <w:keepNext/>
              <w:keepLines/>
              <w:spacing w:after="0" w:line="240" w:lineRule="auto"/>
            </w:pPr>
            <w:r>
              <w:rPr>
                <w:sz w:val="18"/>
              </w:rPr>
              <w:t>B003</w:t>
            </w:r>
          </w:p>
        </w:tc>
        <w:tc>
          <w:tcPr>
            <w:tcW w:w="1860" w:type="dxa"/>
            <w:tcMar>
              <w:top w:w="0" w:type="dxa"/>
              <w:bottom w:w="0" w:type="dxa"/>
            </w:tcMar>
            <w:vAlign w:val="center"/>
          </w:tcPr>
          <w:p w:rsidR="005A6F60" w:rsidRDefault="00B31863">
            <w:pPr>
              <w:keepNext/>
              <w:keepLines/>
              <w:spacing w:after="0" w:line="240" w:lineRule="auto"/>
              <w:jc w:val="right"/>
            </w:pPr>
            <w:r>
              <w:rPr>
                <w:sz w:val="18"/>
              </w:rPr>
              <w:t>4.882.759,73</w:t>
            </w:r>
          </w:p>
        </w:tc>
        <w:tc>
          <w:tcPr>
            <w:tcW w:w="1860" w:type="dxa"/>
            <w:tcMar>
              <w:top w:w="0" w:type="dxa"/>
              <w:bottom w:w="0" w:type="dxa"/>
            </w:tcMar>
            <w:vAlign w:val="center"/>
          </w:tcPr>
          <w:p w:rsidR="005A6F60" w:rsidRDefault="00B31863">
            <w:pPr>
              <w:keepNext/>
              <w:keepLines/>
              <w:spacing w:after="0" w:line="240" w:lineRule="auto"/>
              <w:jc w:val="right"/>
            </w:pPr>
            <w:r>
              <w:rPr>
                <w:sz w:val="18"/>
              </w:rPr>
              <w:t>4.960.907,85</w:t>
            </w:r>
          </w:p>
        </w:tc>
        <w:tc>
          <w:tcPr>
            <w:tcW w:w="700" w:type="dxa"/>
            <w:tcMar>
              <w:top w:w="0" w:type="dxa"/>
              <w:bottom w:w="0" w:type="dxa"/>
            </w:tcMar>
            <w:vAlign w:val="center"/>
          </w:tcPr>
          <w:p w:rsidR="005A6F60" w:rsidRDefault="00B31863">
            <w:pPr>
              <w:keepNext/>
              <w:keepLines/>
              <w:spacing w:after="0" w:line="240" w:lineRule="auto"/>
              <w:jc w:val="right"/>
            </w:pPr>
            <w:r>
              <w:rPr>
                <w:sz w:val="18"/>
              </w:rPr>
              <w:t>101,6</w:t>
            </w:r>
          </w:p>
        </w:tc>
      </w:tr>
    </w:tbl>
    <w:p w:rsidR="005A6F60" w:rsidRDefault="005A6F60">
      <w:pPr>
        <w:spacing w:after="0"/>
      </w:pPr>
    </w:p>
    <w:p w:rsidR="005A6F60" w:rsidRDefault="00B31863">
      <w:r>
        <w:lastRenderedPageBreak/>
        <w:t>Stanje obveza i vlastitih izvora na dan 31.12.2025. je veće za 1,6% u odnosu na početak razdoblja. Obveze za zaposlene su veće jer je tijekom godine rasla osnovica za izračun plaće i rasta materijalnih prava, obveze za materijalne rashode su manje, uglavno</w:t>
      </w:r>
      <w:r>
        <w:t>m se odnose na nepodmirene režijske troškove dok su ostale tekuće obveze manje. Vlastiti izvori veći su za 26%, a odnose se na kupljeni prostor na adresi Gundulićeva 3 u svrhu korištenja za obavljanje osnovne djelatnosti održavanje nastave i znanstveno ist</w:t>
      </w:r>
      <w:r>
        <w:t>raživačkog rada, te nabavu opreme koja služi za redovan rad, održavanje nastave i provođenje znanstvenih projekata. </w:t>
      </w:r>
    </w:p>
    <w:p w:rsidR="005A6F60" w:rsidRDefault="005A6F60"/>
    <w:p w:rsidR="005A6F60" w:rsidRDefault="00B31863">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92211</w:t>
            </w:r>
          </w:p>
        </w:tc>
        <w:tc>
          <w:tcPr>
            <w:tcW w:w="3180" w:type="dxa"/>
            <w:tcMar>
              <w:top w:w="0" w:type="dxa"/>
              <w:bottom w:w="0" w:type="dxa"/>
            </w:tcMar>
            <w:vAlign w:val="center"/>
          </w:tcPr>
          <w:p w:rsidR="005A6F60" w:rsidRDefault="00B31863">
            <w:pPr>
              <w:keepNext/>
              <w:keepLines/>
              <w:spacing w:after="0" w:line="240" w:lineRule="auto"/>
            </w:pPr>
            <w:r>
              <w:rPr>
                <w:sz w:val="18"/>
              </w:rPr>
              <w:t>Višak prihoda poslovanja</w:t>
            </w:r>
          </w:p>
        </w:tc>
        <w:tc>
          <w:tcPr>
            <w:tcW w:w="700" w:type="dxa"/>
            <w:tcMar>
              <w:top w:w="0" w:type="dxa"/>
              <w:bottom w:w="0" w:type="dxa"/>
            </w:tcMar>
            <w:vAlign w:val="center"/>
          </w:tcPr>
          <w:p w:rsidR="005A6F60" w:rsidRDefault="00B31863">
            <w:pPr>
              <w:keepNext/>
              <w:keepLines/>
              <w:spacing w:after="0" w:line="240" w:lineRule="auto"/>
            </w:pPr>
            <w:r>
              <w:rPr>
                <w:sz w:val="18"/>
              </w:rPr>
              <w:t>92211</w:t>
            </w:r>
          </w:p>
        </w:tc>
        <w:tc>
          <w:tcPr>
            <w:tcW w:w="1860" w:type="dxa"/>
            <w:tcMar>
              <w:top w:w="0" w:type="dxa"/>
              <w:bottom w:w="0" w:type="dxa"/>
            </w:tcMar>
            <w:vAlign w:val="center"/>
          </w:tcPr>
          <w:p w:rsidR="005A6F60" w:rsidRDefault="00B31863">
            <w:pPr>
              <w:keepNext/>
              <w:keepLines/>
              <w:spacing w:after="0" w:line="240" w:lineRule="auto"/>
              <w:jc w:val="right"/>
            </w:pPr>
            <w:r>
              <w:rPr>
                <w:sz w:val="18"/>
              </w:rPr>
              <w:t>2.595.021,67</w:t>
            </w:r>
          </w:p>
        </w:tc>
        <w:tc>
          <w:tcPr>
            <w:tcW w:w="1860" w:type="dxa"/>
            <w:tcMar>
              <w:top w:w="0" w:type="dxa"/>
              <w:bottom w:w="0" w:type="dxa"/>
            </w:tcMar>
            <w:vAlign w:val="center"/>
          </w:tcPr>
          <w:p w:rsidR="005A6F60" w:rsidRDefault="00B31863">
            <w:pPr>
              <w:keepNext/>
              <w:keepLines/>
              <w:spacing w:after="0" w:line="240" w:lineRule="auto"/>
              <w:jc w:val="right"/>
            </w:pPr>
            <w:r>
              <w:rPr>
                <w:sz w:val="18"/>
              </w:rPr>
              <w:t>2.218.201,61</w:t>
            </w:r>
          </w:p>
        </w:tc>
        <w:tc>
          <w:tcPr>
            <w:tcW w:w="700" w:type="dxa"/>
            <w:tcMar>
              <w:top w:w="0" w:type="dxa"/>
              <w:bottom w:w="0" w:type="dxa"/>
            </w:tcMar>
            <w:vAlign w:val="center"/>
          </w:tcPr>
          <w:p w:rsidR="005A6F60" w:rsidRDefault="00B31863">
            <w:pPr>
              <w:keepNext/>
              <w:keepLines/>
              <w:spacing w:after="0" w:line="240" w:lineRule="auto"/>
              <w:jc w:val="right"/>
            </w:pPr>
            <w:r>
              <w:rPr>
                <w:sz w:val="18"/>
              </w:rPr>
              <w:t>85,5</w:t>
            </w:r>
          </w:p>
        </w:tc>
      </w:tr>
    </w:tbl>
    <w:p w:rsidR="005A6F60" w:rsidRDefault="005A6F60">
      <w:pPr>
        <w:spacing w:after="0"/>
      </w:pPr>
    </w:p>
    <w:p w:rsidR="005A6F60" w:rsidRDefault="00B31863">
      <w:r>
        <w:t>Višak prihoda poslovanja iznosi 2.218.201,61 eura, prenosi se u poslovnu godinu 2026.</w:t>
      </w:r>
    </w:p>
    <w:p w:rsidR="005A6F60" w:rsidRDefault="005A6F60"/>
    <w:p w:rsidR="005A6F60" w:rsidRDefault="00B31863">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92222</w:t>
            </w:r>
          </w:p>
        </w:tc>
        <w:tc>
          <w:tcPr>
            <w:tcW w:w="3180" w:type="dxa"/>
            <w:tcMar>
              <w:top w:w="0" w:type="dxa"/>
              <w:bottom w:w="0" w:type="dxa"/>
            </w:tcMar>
            <w:vAlign w:val="center"/>
          </w:tcPr>
          <w:p w:rsidR="005A6F60" w:rsidRDefault="00B31863">
            <w:pPr>
              <w:keepNext/>
              <w:keepLines/>
              <w:spacing w:after="0" w:line="240" w:lineRule="auto"/>
            </w:pPr>
            <w:r>
              <w:rPr>
                <w:sz w:val="18"/>
              </w:rPr>
              <w:t xml:space="preserve">Manjak prihoda od </w:t>
            </w:r>
            <w:r>
              <w:rPr>
                <w:sz w:val="18"/>
              </w:rPr>
              <w:t>nefinancijske imovine</w:t>
            </w:r>
          </w:p>
        </w:tc>
        <w:tc>
          <w:tcPr>
            <w:tcW w:w="700" w:type="dxa"/>
            <w:tcMar>
              <w:top w:w="0" w:type="dxa"/>
              <w:bottom w:w="0" w:type="dxa"/>
            </w:tcMar>
            <w:vAlign w:val="center"/>
          </w:tcPr>
          <w:p w:rsidR="005A6F60" w:rsidRDefault="00B31863">
            <w:pPr>
              <w:keepNext/>
              <w:keepLines/>
              <w:spacing w:after="0" w:line="240" w:lineRule="auto"/>
            </w:pPr>
            <w:r>
              <w:rPr>
                <w:sz w:val="18"/>
              </w:rPr>
              <w:t>92222</w:t>
            </w:r>
          </w:p>
        </w:tc>
        <w:tc>
          <w:tcPr>
            <w:tcW w:w="1860" w:type="dxa"/>
            <w:tcMar>
              <w:top w:w="0" w:type="dxa"/>
              <w:bottom w:w="0" w:type="dxa"/>
            </w:tcMar>
            <w:vAlign w:val="center"/>
          </w:tcPr>
          <w:p w:rsidR="005A6F60" w:rsidRDefault="00B31863">
            <w:pPr>
              <w:keepNext/>
              <w:keepLines/>
              <w:spacing w:after="0" w:line="240" w:lineRule="auto"/>
              <w:jc w:val="right"/>
            </w:pPr>
            <w:r>
              <w:rPr>
                <w:sz w:val="18"/>
              </w:rPr>
              <w:t>176.041,97</w:t>
            </w:r>
          </w:p>
        </w:tc>
        <w:tc>
          <w:tcPr>
            <w:tcW w:w="1860" w:type="dxa"/>
            <w:tcMar>
              <w:top w:w="0" w:type="dxa"/>
              <w:bottom w:w="0" w:type="dxa"/>
            </w:tcMar>
            <w:vAlign w:val="center"/>
          </w:tcPr>
          <w:p w:rsidR="005A6F60" w:rsidRDefault="00B31863">
            <w:pPr>
              <w:keepNext/>
              <w:keepLines/>
              <w:spacing w:after="0" w:line="240" w:lineRule="auto"/>
              <w:jc w:val="right"/>
            </w:pPr>
            <w:r>
              <w:rPr>
                <w:sz w:val="18"/>
              </w:rPr>
              <w:t>198.834,99</w:t>
            </w:r>
          </w:p>
        </w:tc>
        <w:tc>
          <w:tcPr>
            <w:tcW w:w="700" w:type="dxa"/>
            <w:tcMar>
              <w:top w:w="0" w:type="dxa"/>
              <w:bottom w:w="0" w:type="dxa"/>
            </w:tcMar>
            <w:vAlign w:val="center"/>
          </w:tcPr>
          <w:p w:rsidR="005A6F60" w:rsidRDefault="00B31863">
            <w:pPr>
              <w:keepNext/>
              <w:keepLines/>
              <w:spacing w:after="0" w:line="240" w:lineRule="auto"/>
              <w:jc w:val="right"/>
            </w:pPr>
            <w:r>
              <w:rPr>
                <w:sz w:val="18"/>
              </w:rPr>
              <w:t>112,9</w:t>
            </w:r>
          </w:p>
        </w:tc>
      </w:tr>
    </w:tbl>
    <w:p w:rsidR="005A6F60" w:rsidRDefault="005A6F60">
      <w:pPr>
        <w:spacing w:after="0"/>
      </w:pPr>
    </w:p>
    <w:p w:rsidR="005A6F60" w:rsidRDefault="00B31863">
      <w:r>
        <w:t>Manjak prihoda od nefinancijske imovine iznosi 198.834,99 eura, prenosi se u poslovnu godinu 2026., te će se pokriti donošenjem Odluke o raspodjeli rezultata sukladno odredbi Pravilnika o proračunskom računovodstvu i računskom planu. </w:t>
      </w:r>
    </w:p>
    <w:p w:rsidR="005A6F60" w:rsidRDefault="005A6F60"/>
    <w:p w:rsidR="005A6F60" w:rsidRDefault="00B31863">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w:t>
            </w:r>
            <w:r>
              <w:rPr>
                <w:b/>
                <w:sz w:val="18"/>
              </w:rPr>
              <w:t>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991</w:t>
            </w:r>
          </w:p>
        </w:tc>
        <w:tc>
          <w:tcPr>
            <w:tcW w:w="3180" w:type="dxa"/>
            <w:tcMar>
              <w:top w:w="0" w:type="dxa"/>
              <w:bottom w:w="0" w:type="dxa"/>
            </w:tcMar>
            <w:vAlign w:val="center"/>
          </w:tcPr>
          <w:p w:rsidR="005A6F60" w:rsidRDefault="00B31863">
            <w:pPr>
              <w:keepNext/>
              <w:keepLines/>
              <w:spacing w:after="0" w:line="240" w:lineRule="auto"/>
            </w:pPr>
            <w:r>
              <w:rPr>
                <w:sz w:val="18"/>
              </w:rPr>
              <w:t>Izvanbilančni zapisi - aktiva (šifra 996)</w:t>
            </w:r>
          </w:p>
        </w:tc>
        <w:tc>
          <w:tcPr>
            <w:tcW w:w="700" w:type="dxa"/>
            <w:tcMar>
              <w:top w:w="0" w:type="dxa"/>
              <w:bottom w:w="0" w:type="dxa"/>
            </w:tcMar>
            <w:vAlign w:val="center"/>
          </w:tcPr>
          <w:p w:rsidR="005A6F60" w:rsidRDefault="00B31863">
            <w:pPr>
              <w:keepNext/>
              <w:keepLines/>
              <w:spacing w:after="0" w:line="240" w:lineRule="auto"/>
            </w:pPr>
            <w:r>
              <w:rPr>
                <w:sz w:val="18"/>
              </w:rPr>
              <w:t>991</w:t>
            </w:r>
          </w:p>
        </w:tc>
        <w:tc>
          <w:tcPr>
            <w:tcW w:w="1860" w:type="dxa"/>
            <w:tcMar>
              <w:top w:w="0" w:type="dxa"/>
              <w:bottom w:w="0" w:type="dxa"/>
            </w:tcMar>
            <w:vAlign w:val="center"/>
          </w:tcPr>
          <w:p w:rsidR="005A6F60" w:rsidRDefault="00B31863">
            <w:pPr>
              <w:keepNext/>
              <w:keepLines/>
              <w:spacing w:after="0" w:line="240" w:lineRule="auto"/>
              <w:jc w:val="right"/>
            </w:pPr>
            <w:r>
              <w:rPr>
                <w:sz w:val="18"/>
              </w:rPr>
              <w:t>129.445,43</w:t>
            </w:r>
          </w:p>
        </w:tc>
        <w:tc>
          <w:tcPr>
            <w:tcW w:w="1860" w:type="dxa"/>
            <w:tcMar>
              <w:top w:w="0" w:type="dxa"/>
              <w:bottom w:w="0" w:type="dxa"/>
            </w:tcMar>
            <w:vAlign w:val="center"/>
          </w:tcPr>
          <w:p w:rsidR="005A6F60" w:rsidRDefault="00B31863">
            <w:pPr>
              <w:keepNext/>
              <w:keepLines/>
              <w:spacing w:after="0" w:line="240" w:lineRule="auto"/>
              <w:jc w:val="right"/>
            </w:pPr>
            <w:r>
              <w:rPr>
                <w:sz w:val="18"/>
              </w:rPr>
              <w:t>118.251,06</w:t>
            </w:r>
          </w:p>
        </w:tc>
        <w:tc>
          <w:tcPr>
            <w:tcW w:w="700" w:type="dxa"/>
            <w:tcMar>
              <w:top w:w="0" w:type="dxa"/>
              <w:bottom w:w="0" w:type="dxa"/>
            </w:tcMar>
            <w:vAlign w:val="center"/>
          </w:tcPr>
          <w:p w:rsidR="005A6F60" w:rsidRDefault="00B31863">
            <w:pPr>
              <w:keepNext/>
              <w:keepLines/>
              <w:spacing w:after="0" w:line="240" w:lineRule="auto"/>
              <w:jc w:val="right"/>
            </w:pPr>
            <w:r>
              <w:rPr>
                <w:sz w:val="18"/>
              </w:rPr>
              <w:t>91,4</w:t>
            </w:r>
          </w:p>
        </w:tc>
      </w:tr>
    </w:tbl>
    <w:p w:rsidR="005A6F60" w:rsidRDefault="005A6F60">
      <w:pPr>
        <w:spacing w:after="0"/>
      </w:pPr>
    </w:p>
    <w:p w:rsidR="005A6F60" w:rsidRDefault="00B31863">
      <w:r>
        <w:t>Izvanbilančni zapisi aktiva=pasiva odnose se na instrumente osiguranja plaćanja – zadužnice u iznosu 73.855,54 eura, te tuđe imovine dobivene na korištenje (8 aparata na Zavodu za parodontologiju i 3D printer Sprintray na Zavodu za endodonciju) u iznosu od</w:t>
      </w:r>
      <w:r>
        <w:t xml:space="preserve"> 44.395,52 eura.</w:t>
      </w:r>
    </w:p>
    <w:p w:rsidR="005A6F60" w:rsidRDefault="005A6F60"/>
    <w:p w:rsidR="005A6F60" w:rsidRDefault="00B31863">
      <w:pPr>
        <w:keepNext/>
        <w:spacing w:line="240" w:lineRule="auto"/>
        <w:jc w:val="center"/>
      </w:pPr>
      <w:r>
        <w:rPr>
          <w:b/>
          <w:sz w:val="28"/>
        </w:rPr>
        <w:lastRenderedPageBreak/>
        <w:t>Izvještaj o rashodima prema funkcijskoj klasifikaciji</w:t>
      </w:r>
    </w:p>
    <w:p w:rsidR="005A6F60" w:rsidRDefault="00B31863">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0942</w:t>
            </w:r>
          </w:p>
        </w:tc>
        <w:tc>
          <w:tcPr>
            <w:tcW w:w="3180" w:type="dxa"/>
            <w:tcMar>
              <w:top w:w="0" w:type="dxa"/>
              <w:bottom w:w="0" w:type="dxa"/>
            </w:tcMar>
            <w:vAlign w:val="center"/>
          </w:tcPr>
          <w:p w:rsidR="005A6F60" w:rsidRDefault="00B31863">
            <w:pPr>
              <w:keepNext/>
              <w:keepLines/>
              <w:spacing w:after="0" w:line="240" w:lineRule="auto"/>
            </w:pPr>
            <w:r>
              <w:rPr>
                <w:sz w:val="18"/>
              </w:rPr>
              <w:t xml:space="preserve">Drugi stupanj </w:t>
            </w:r>
            <w:r>
              <w:rPr>
                <w:sz w:val="18"/>
              </w:rPr>
              <w:t>visoke naobrazbe</w:t>
            </w:r>
          </w:p>
        </w:tc>
        <w:tc>
          <w:tcPr>
            <w:tcW w:w="700" w:type="dxa"/>
            <w:tcMar>
              <w:top w:w="0" w:type="dxa"/>
              <w:bottom w:w="0" w:type="dxa"/>
            </w:tcMar>
            <w:vAlign w:val="center"/>
          </w:tcPr>
          <w:p w:rsidR="005A6F60" w:rsidRDefault="00B31863">
            <w:pPr>
              <w:keepNext/>
              <w:keepLines/>
              <w:spacing w:after="0" w:line="240" w:lineRule="auto"/>
            </w:pPr>
            <w:r>
              <w:rPr>
                <w:sz w:val="18"/>
              </w:rPr>
              <w:t>0942</w:t>
            </w:r>
          </w:p>
        </w:tc>
        <w:tc>
          <w:tcPr>
            <w:tcW w:w="1860" w:type="dxa"/>
            <w:tcMar>
              <w:top w:w="0" w:type="dxa"/>
              <w:bottom w:w="0" w:type="dxa"/>
            </w:tcMar>
            <w:vAlign w:val="center"/>
          </w:tcPr>
          <w:p w:rsidR="005A6F60" w:rsidRDefault="00B31863">
            <w:pPr>
              <w:keepNext/>
              <w:keepLines/>
              <w:spacing w:after="0" w:line="240" w:lineRule="auto"/>
              <w:jc w:val="right"/>
            </w:pPr>
            <w:r>
              <w:rPr>
                <w:sz w:val="18"/>
              </w:rPr>
              <w:t>9.061.308,95</w:t>
            </w:r>
          </w:p>
        </w:tc>
        <w:tc>
          <w:tcPr>
            <w:tcW w:w="1860" w:type="dxa"/>
            <w:tcMar>
              <w:top w:w="0" w:type="dxa"/>
              <w:bottom w:w="0" w:type="dxa"/>
            </w:tcMar>
            <w:vAlign w:val="center"/>
          </w:tcPr>
          <w:p w:rsidR="005A6F60" w:rsidRDefault="00B31863">
            <w:pPr>
              <w:keepNext/>
              <w:keepLines/>
              <w:spacing w:after="0" w:line="240" w:lineRule="auto"/>
              <w:jc w:val="right"/>
            </w:pPr>
            <w:r>
              <w:rPr>
                <w:sz w:val="18"/>
              </w:rPr>
              <w:t>10.923.006,70</w:t>
            </w:r>
          </w:p>
        </w:tc>
        <w:tc>
          <w:tcPr>
            <w:tcW w:w="700" w:type="dxa"/>
            <w:tcMar>
              <w:top w:w="0" w:type="dxa"/>
              <w:bottom w:w="0" w:type="dxa"/>
            </w:tcMar>
            <w:vAlign w:val="center"/>
          </w:tcPr>
          <w:p w:rsidR="005A6F60" w:rsidRDefault="00B31863">
            <w:pPr>
              <w:keepNext/>
              <w:keepLines/>
              <w:spacing w:after="0" w:line="240" w:lineRule="auto"/>
              <w:jc w:val="right"/>
            </w:pPr>
            <w:r>
              <w:rPr>
                <w:sz w:val="18"/>
              </w:rPr>
              <w:t>120,5</w:t>
            </w:r>
          </w:p>
        </w:tc>
      </w:tr>
    </w:tbl>
    <w:p w:rsidR="005A6F60" w:rsidRDefault="005A6F60">
      <w:pPr>
        <w:spacing w:after="0"/>
      </w:pPr>
    </w:p>
    <w:p w:rsidR="005A6F60" w:rsidRDefault="00B31863">
      <w:r>
        <w:t xml:space="preserve">Troškovi drugog stupnja visoke naobrazbe odnose se na troškove nastave: prijediplomskog i diplomskog integriranog sveučilišnog studija Dentalna medicina na hrvatskom jeziku, prijeplomskog i diplomskog integriranog sveučilišnog studija Dentalna medicina na </w:t>
      </w:r>
      <w:r>
        <w:t>engleskom jeziku, doktorskog studija, specijalističkih studija, tečajeva trajne izobrazbe i dr.</w:t>
      </w:r>
    </w:p>
    <w:p w:rsidR="005A6F60" w:rsidRDefault="005A6F60"/>
    <w:p w:rsidR="005A6F60" w:rsidRDefault="00B31863">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 xml:space="preserve">Indeks </w:t>
            </w:r>
            <w:r>
              <w:rPr>
                <w:b/>
                <w:sz w:val="18"/>
              </w:rPr>
              <w:t>(%)</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097</w:t>
            </w:r>
          </w:p>
        </w:tc>
        <w:tc>
          <w:tcPr>
            <w:tcW w:w="3180" w:type="dxa"/>
            <w:tcMar>
              <w:top w:w="0" w:type="dxa"/>
              <w:bottom w:w="0" w:type="dxa"/>
            </w:tcMar>
            <w:vAlign w:val="center"/>
          </w:tcPr>
          <w:p w:rsidR="005A6F60" w:rsidRDefault="00B31863">
            <w:pPr>
              <w:keepNext/>
              <w:keepLines/>
              <w:spacing w:after="0" w:line="240" w:lineRule="auto"/>
            </w:pPr>
            <w:r>
              <w:rPr>
                <w:sz w:val="18"/>
              </w:rPr>
              <w:t>Istraživanje i razvoj obrazovanja</w:t>
            </w:r>
          </w:p>
        </w:tc>
        <w:tc>
          <w:tcPr>
            <w:tcW w:w="700" w:type="dxa"/>
            <w:tcMar>
              <w:top w:w="0" w:type="dxa"/>
              <w:bottom w:w="0" w:type="dxa"/>
            </w:tcMar>
            <w:vAlign w:val="center"/>
          </w:tcPr>
          <w:p w:rsidR="005A6F60" w:rsidRDefault="00B31863">
            <w:pPr>
              <w:keepNext/>
              <w:keepLines/>
              <w:spacing w:after="0" w:line="240" w:lineRule="auto"/>
            </w:pPr>
            <w:r>
              <w:rPr>
                <w:sz w:val="18"/>
              </w:rPr>
              <w:t>097</w:t>
            </w:r>
          </w:p>
        </w:tc>
        <w:tc>
          <w:tcPr>
            <w:tcW w:w="1860" w:type="dxa"/>
            <w:tcMar>
              <w:top w:w="0" w:type="dxa"/>
              <w:bottom w:w="0" w:type="dxa"/>
            </w:tcMar>
            <w:vAlign w:val="center"/>
          </w:tcPr>
          <w:p w:rsidR="005A6F60" w:rsidRDefault="00B31863">
            <w:pPr>
              <w:keepNext/>
              <w:keepLines/>
              <w:spacing w:after="0" w:line="240" w:lineRule="auto"/>
              <w:jc w:val="right"/>
            </w:pPr>
            <w:r>
              <w:rPr>
                <w:sz w:val="18"/>
              </w:rPr>
              <w:t>808.793,38</w:t>
            </w:r>
          </w:p>
        </w:tc>
        <w:tc>
          <w:tcPr>
            <w:tcW w:w="1860" w:type="dxa"/>
            <w:tcMar>
              <w:top w:w="0" w:type="dxa"/>
              <w:bottom w:w="0" w:type="dxa"/>
            </w:tcMar>
            <w:vAlign w:val="center"/>
          </w:tcPr>
          <w:p w:rsidR="005A6F60" w:rsidRDefault="00B31863">
            <w:pPr>
              <w:keepNext/>
              <w:keepLines/>
              <w:spacing w:after="0" w:line="240" w:lineRule="auto"/>
              <w:jc w:val="right"/>
            </w:pPr>
            <w:r>
              <w:rPr>
                <w:sz w:val="18"/>
              </w:rPr>
              <w:t>924.771,69</w:t>
            </w:r>
          </w:p>
        </w:tc>
        <w:tc>
          <w:tcPr>
            <w:tcW w:w="700" w:type="dxa"/>
            <w:tcMar>
              <w:top w:w="0" w:type="dxa"/>
              <w:bottom w:w="0" w:type="dxa"/>
            </w:tcMar>
            <w:vAlign w:val="center"/>
          </w:tcPr>
          <w:p w:rsidR="005A6F60" w:rsidRDefault="00B31863">
            <w:pPr>
              <w:keepNext/>
              <w:keepLines/>
              <w:spacing w:after="0" w:line="240" w:lineRule="auto"/>
              <w:jc w:val="right"/>
            </w:pPr>
            <w:r>
              <w:rPr>
                <w:sz w:val="18"/>
              </w:rPr>
              <w:t>114,3</w:t>
            </w:r>
          </w:p>
        </w:tc>
      </w:tr>
    </w:tbl>
    <w:p w:rsidR="005A6F60" w:rsidRDefault="005A6F60">
      <w:pPr>
        <w:spacing w:after="0"/>
      </w:pPr>
    </w:p>
    <w:p w:rsidR="005A6F60" w:rsidRDefault="00B31863">
      <w:r>
        <w:t>Troškovi istraživanja i razvoj obrazovanja obuhvaćaju troškove znanstveno istraživačkih potpora Sveučilišta,i znanstvenih projekata Hrvatske zaklade za znanost.</w:t>
      </w:r>
    </w:p>
    <w:p w:rsidR="005A6F60" w:rsidRDefault="005A6F60"/>
    <w:p w:rsidR="005A6F60" w:rsidRDefault="00B31863">
      <w:pPr>
        <w:keepNext/>
        <w:spacing w:line="240" w:lineRule="auto"/>
        <w:jc w:val="center"/>
      </w:pPr>
      <w:r>
        <w:rPr>
          <w:b/>
          <w:sz w:val="28"/>
        </w:rPr>
        <w:t>Promjene u vrijednosti i obujmu imovine i obveza</w:t>
      </w:r>
    </w:p>
    <w:p w:rsidR="005A6F60" w:rsidRDefault="00B31863">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5A6F60">
            <w:pPr>
              <w:keepNext/>
              <w:keepLines/>
              <w:spacing w:after="0" w:line="240" w:lineRule="auto"/>
            </w:pPr>
          </w:p>
        </w:tc>
        <w:tc>
          <w:tcPr>
            <w:tcW w:w="3180" w:type="dxa"/>
            <w:tcMar>
              <w:top w:w="0" w:type="dxa"/>
              <w:bottom w:w="0" w:type="dxa"/>
            </w:tcMar>
            <w:vAlign w:val="center"/>
          </w:tcPr>
          <w:p w:rsidR="005A6F60" w:rsidRDefault="00B31863">
            <w:pPr>
              <w:keepNext/>
              <w:keepLines/>
              <w:spacing w:after="0" w:line="240" w:lineRule="auto"/>
            </w:pPr>
            <w:r>
              <w:rPr>
                <w:sz w:val="18"/>
              </w:rPr>
              <w:t>Proizvedena dugotrajna imovina</w:t>
            </w:r>
          </w:p>
        </w:tc>
        <w:tc>
          <w:tcPr>
            <w:tcW w:w="700" w:type="dxa"/>
            <w:tcMar>
              <w:top w:w="0" w:type="dxa"/>
              <w:bottom w:w="0" w:type="dxa"/>
            </w:tcMar>
            <w:vAlign w:val="center"/>
          </w:tcPr>
          <w:p w:rsidR="005A6F60" w:rsidRDefault="00B31863">
            <w:pPr>
              <w:keepNext/>
              <w:keepLines/>
              <w:spacing w:after="0" w:line="240" w:lineRule="auto"/>
            </w:pPr>
            <w:r>
              <w:rPr>
                <w:sz w:val="18"/>
              </w:rPr>
              <w:t>P003</w:t>
            </w:r>
          </w:p>
        </w:tc>
        <w:tc>
          <w:tcPr>
            <w:tcW w:w="1860" w:type="dxa"/>
            <w:tcMar>
              <w:top w:w="0" w:type="dxa"/>
              <w:bottom w:w="0" w:type="dxa"/>
            </w:tcMar>
            <w:vAlign w:val="center"/>
          </w:tcPr>
          <w:p w:rsidR="005A6F60" w:rsidRDefault="00B31863">
            <w:pPr>
              <w:keepNext/>
              <w:keepLines/>
              <w:spacing w:after="0" w:line="240" w:lineRule="auto"/>
              <w:jc w:val="right"/>
            </w:pPr>
            <w:r>
              <w:rPr>
                <w:sz w:val="18"/>
              </w:rPr>
              <w:t>332.238,58</w:t>
            </w:r>
          </w:p>
        </w:tc>
        <w:tc>
          <w:tcPr>
            <w:tcW w:w="1860" w:type="dxa"/>
            <w:tcMar>
              <w:top w:w="0" w:type="dxa"/>
              <w:bottom w:w="0" w:type="dxa"/>
            </w:tcMar>
            <w:vAlign w:val="center"/>
          </w:tcPr>
          <w:p w:rsidR="005A6F60" w:rsidRDefault="00B31863">
            <w:pPr>
              <w:keepNext/>
              <w:keepLines/>
              <w:spacing w:after="0" w:line="240" w:lineRule="auto"/>
              <w:jc w:val="right"/>
            </w:pPr>
            <w:r>
              <w:rPr>
                <w:sz w:val="18"/>
              </w:rPr>
              <w:t>0,00</w:t>
            </w:r>
          </w:p>
        </w:tc>
        <w:tc>
          <w:tcPr>
            <w:tcW w:w="700" w:type="dxa"/>
            <w:tcMar>
              <w:top w:w="0" w:type="dxa"/>
              <w:bottom w:w="0" w:type="dxa"/>
            </w:tcMar>
            <w:vAlign w:val="center"/>
          </w:tcPr>
          <w:p w:rsidR="005A6F60" w:rsidRDefault="00B31863">
            <w:pPr>
              <w:keepNext/>
              <w:keepLines/>
              <w:spacing w:after="0" w:line="240" w:lineRule="auto"/>
              <w:jc w:val="right"/>
            </w:pPr>
            <w:r>
              <w:rPr>
                <w:sz w:val="18"/>
              </w:rPr>
              <w:t>0</w:t>
            </w:r>
          </w:p>
        </w:tc>
      </w:tr>
    </w:tbl>
    <w:p w:rsidR="005A6F60" w:rsidRDefault="005A6F60">
      <w:pPr>
        <w:spacing w:after="0"/>
      </w:pPr>
    </w:p>
    <w:p w:rsidR="005A6F60" w:rsidRDefault="00B31863">
      <w:r>
        <w:t>Promjene u vrijednosti imovine odnose se na smanjenje proizvedene dugotrajne imovine temeljem ispravka vrijednosti u iznosu od 332.136,39 eura i 102,19 eura koji se odnose na rashod za oštećene i neupotrebljive knjige. </w:t>
      </w:r>
    </w:p>
    <w:p w:rsidR="005A6F60" w:rsidRDefault="005A6F60"/>
    <w:p w:rsidR="005A6F60" w:rsidRDefault="00B31863">
      <w:pPr>
        <w:keepNext/>
        <w:spacing w:line="240" w:lineRule="auto"/>
        <w:jc w:val="center"/>
      </w:pPr>
      <w:r>
        <w:rPr>
          <w:sz w:val="28"/>
        </w:rPr>
        <w:lastRenderedPageBreak/>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w:t>
            </w:r>
            <w:r>
              <w:rPr>
                <w:b/>
                <w:sz w:val="18"/>
              </w:rPr>
              <w:t>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B31863">
            <w:pPr>
              <w:keepNext/>
              <w:keepLines/>
              <w:spacing w:after="0" w:line="240" w:lineRule="auto"/>
            </w:pPr>
            <w:r>
              <w:rPr>
                <w:sz w:val="18"/>
              </w:rPr>
              <w:t>91512</w:t>
            </w:r>
          </w:p>
        </w:tc>
        <w:tc>
          <w:tcPr>
            <w:tcW w:w="3180" w:type="dxa"/>
            <w:tcMar>
              <w:top w:w="0" w:type="dxa"/>
              <w:bottom w:w="0" w:type="dxa"/>
            </w:tcMar>
            <w:vAlign w:val="center"/>
          </w:tcPr>
          <w:p w:rsidR="005A6F60" w:rsidRDefault="00B31863">
            <w:pPr>
              <w:keepNext/>
              <w:keepLines/>
              <w:spacing w:after="0" w:line="240" w:lineRule="auto"/>
            </w:pPr>
            <w:r>
              <w:rPr>
                <w:sz w:val="18"/>
              </w:rPr>
              <w:t>Promjene u obujmu imovine (šifre P016+P023)</w:t>
            </w:r>
          </w:p>
        </w:tc>
        <w:tc>
          <w:tcPr>
            <w:tcW w:w="700" w:type="dxa"/>
            <w:tcMar>
              <w:top w:w="0" w:type="dxa"/>
              <w:bottom w:w="0" w:type="dxa"/>
            </w:tcMar>
            <w:vAlign w:val="center"/>
          </w:tcPr>
          <w:p w:rsidR="005A6F60" w:rsidRDefault="00B31863">
            <w:pPr>
              <w:keepNext/>
              <w:keepLines/>
              <w:spacing w:after="0" w:line="240" w:lineRule="auto"/>
            </w:pPr>
            <w:r>
              <w:rPr>
                <w:sz w:val="18"/>
              </w:rPr>
              <w:t>91512</w:t>
            </w:r>
          </w:p>
        </w:tc>
        <w:tc>
          <w:tcPr>
            <w:tcW w:w="1860" w:type="dxa"/>
            <w:tcMar>
              <w:top w:w="0" w:type="dxa"/>
              <w:bottom w:w="0" w:type="dxa"/>
            </w:tcMar>
            <w:vAlign w:val="center"/>
          </w:tcPr>
          <w:p w:rsidR="005A6F60" w:rsidRDefault="00B31863">
            <w:pPr>
              <w:keepNext/>
              <w:keepLines/>
              <w:spacing w:after="0" w:line="240" w:lineRule="auto"/>
              <w:jc w:val="right"/>
            </w:pPr>
            <w:r>
              <w:rPr>
                <w:sz w:val="18"/>
              </w:rPr>
              <w:t>23,31</w:t>
            </w:r>
          </w:p>
        </w:tc>
        <w:tc>
          <w:tcPr>
            <w:tcW w:w="1860" w:type="dxa"/>
            <w:tcMar>
              <w:top w:w="0" w:type="dxa"/>
              <w:bottom w:w="0" w:type="dxa"/>
            </w:tcMar>
            <w:vAlign w:val="center"/>
          </w:tcPr>
          <w:p w:rsidR="005A6F60" w:rsidRDefault="00B31863">
            <w:pPr>
              <w:keepNext/>
              <w:keepLines/>
              <w:spacing w:after="0" w:line="240" w:lineRule="auto"/>
              <w:jc w:val="right"/>
            </w:pPr>
            <w:r>
              <w:rPr>
                <w:sz w:val="18"/>
              </w:rPr>
              <w:t>352,89</w:t>
            </w:r>
          </w:p>
        </w:tc>
        <w:tc>
          <w:tcPr>
            <w:tcW w:w="700" w:type="dxa"/>
            <w:tcMar>
              <w:top w:w="0" w:type="dxa"/>
              <w:bottom w:w="0" w:type="dxa"/>
            </w:tcMar>
            <w:vAlign w:val="center"/>
          </w:tcPr>
          <w:p w:rsidR="005A6F60" w:rsidRDefault="00B31863">
            <w:pPr>
              <w:keepNext/>
              <w:keepLines/>
              <w:spacing w:after="0" w:line="240" w:lineRule="auto"/>
              <w:jc w:val="right"/>
            </w:pPr>
            <w:r>
              <w:rPr>
                <w:sz w:val="18"/>
              </w:rPr>
              <w:t>1513,9</w:t>
            </w:r>
          </w:p>
        </w:tc>
      </w:tr>
    </w:tbl>
    <w:p w:rsidR="005A6F60" w:rsidRDefault="005A6F60">
      <w:pPr>
        <w:spacing w:after="0"/>
      </w:pPr>
    </w:p>
    <w:p w:rsidR="005A6F60" w:rsidRDefault="00B31863">
      <w:r>
        <w:t>Promjene u obujmu imovine odnose se na smanjenje potraživanja za prihode poslovanja u iznosu od 23,31 eura. Povećanje proizvedene dugotrajne imovine u iznosu od 352,89 eura odnosi se na prijenos knjiga od MZOM-a Središnjoj stomatološkoj knjižnici.</w:t>
      </w:r>
    </w:p>
    <w:p w:rsidR="005A6F60" w:rsidRDefault="005A6F60"/>
    <w:p w:rsidR="005A6F60" w:rsidRDefault="00B31863">
      <w:pPr>
        <w:keepNext/>
        <w:spacing w:line="240" w:lineRule="auto"/>
        <w:jc w:val="center"/>
      </w:pPr>
      <w:r>
        <w:rPr>
          <w:b/>
          <w:sz w:val="28"/>
        </w:rPr>
        <w:t>Izvješt</w:t>
      </w:r>
      <w:r>
        <w:rPr>
          <w:b/>
          <w:sz w:val="28"/>
        </w:rPr>
        <w:t>aj o obvezama</w:t>
      </w:r>
    </w:p>
    <w:p w:rsidR="005A6F60" w:rsidRDefault="00B31863">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5A6F60">
            <w:pPr>
              <w:keepNext/>
              <w:keepLines/>
              <w:spacing w:after="0" w:line="240" w:lineRule="auto"/>
            </w:pPr>
          </w:p>
        </w:tc>
        <w:tc>
          <w:tcPr>
            <w:tcW w:w="3180" w:type="dxa"/>
            <w:tcMar>
              <w:top w:w="0" w:type="dxa"/>
              <w:bottom w:w="0" w:type="dxa"/>
            </w:tcMar>
            <w:vAlign w:val="center"/>
          </w:tcPr>
          <w:p w:rsidR="005A6F60" w:rsidRDefault="00B31863">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rsidR="005A6F60" w:rsidRDefault="00B31863">
            <w:pPr>
              <w:keepNext/>
              <w:keepLines/>
              <w:spacing w:after="0" w:line="240" w:lineRule="auto"/>
            </w:pPr>
            <w:r>
              <w:rPr>
                <w:sz w:val="18"/>
              </w:rPr>
              <w:t>V001</w:t>
            </w:r>
          </w:p>
        </w:tc>
        <w:tc>
          <w:tcPr>
            <w:tcW w:w="1860" w:type="dxa"/>
            <w:tcMar>
              <w:top w:w="0" w:type="dxa"/>
              <w:bottom w:w="0" w:type="dxa"/>
            </w:tcMar>
            <w:vAlign w:val="center"/>
          </w:tcPr>
          <w:p w:rsidR="005A6F60" w:rsidRDefault="00B31863">
            <w:pPr>
              <w:keepNext/>
              <w:keepLines/>
              <w:spacing w:after="0" w:line="240" w:lineRule="auto"/>
              <w:jc w:val="right"/>
            </w:pPr>
            <w:r>
              <w:rPr>
                <w:sz w:val="18"/>
              </w:rPr>
              <w:t>753.889,24</w:t>
            </w:r>
          </w:p>
        </w:tc>
        <w:tc>
          <w:tcPr>
            <w:tcW w:w="700" w:type="dxa"/>
            <w:tcMar>
              <w:top w:w="0" w:type="dxa"/>
              <w:bottom w:w="0" w:type="dxa"/>
            </w:tcMar>
            <w:vAlign w:val="center"/>
          </w:tcPr>
          <w:p w:rsidR="005A6F60" w:rsidRDefault="00B31863">
            <w:pPr>
              <w:keepNext/>
              <w:keepLines/>
              <w:spacing w:after="0" w:line="240" w:lineRule="auto"/>
              <w:jc w:val="right"/>
            </w:pPr>
            <w:r>
              <w:rPr>
                <w:sz w:val="18"/>
              </w:rPr>
              <w:t>-</w:t>
            </w:r>
          </w:p>
        </w:tc>
      </w:tr>
    </w:tbl>
    <w:p w:rsidR="005A6F60" w:rsidRDefault="005A6F60">
      <w:pPr>
        <w:spacing w:after="0"/>
      </w:pPr>
    </w:p>
    <w:p w:rsidR="005A6F60" w:rsidRDefault="00B31863">
      <w:r>
        <w:t>Stanje obveza na početku razdoblja iznosi 753.889,24 eura, a sastoji se od nepodmirenih obveza za plaće za 12. mjesec 2024., koje su podmirene u siječnju 2025., te materijalnih i financijskih rashoda podmirenih u siječnju 2025.</w:t>
      </w:r>
    </w:p>
    <w:p w:rsidR="005A6F60" w:rsidRDefault="005A6F60"/>
    <w:p w:rsidR="005A6F60" w:rsidRDefault="00B31863">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 xml:space="preserve">Račun iz rač. </w:t>
            </w:r>
            <w:r>
              <w:rPr>
                <w:b/>
                <w:sz w:val="18"/>
              </w:rPr>
              <w:t>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5A6F60">
            <w:pPr>
              <w:keepNext/>
              <w:keepLines/>
              <w:spacing w:after="0" w:line="240" w:lineRule="auto"/>
            </w:pPr>
          </w:p>
        </w:tc>
        <w:tc>
          <w:tcPr>
            <w:tcW w:w="3180" w:type="dxa"/>
            <w:tcMar>
              <w:top w:w="0" w:type="dxa"/>
              <w:bottom w:w="0" w:type="dxa"/>
            </w:tcMar>
            <w:vAlign w:val="center"/>
          </w:tcPr>
          <w:p w:rsidR="005A6F60" w:rsidRDefault="00B31863">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5A6F60" w:rsidRDefault="00B31863">
            <w:pPr>
              <w:keepNext/>
              <w:keepLines/>
              <w:spacing w:after="0" w:line="240" w:lineRule="auto"/>
            </w:pPr>
            <w:r>
              <w:rPr>
                <w:sz w:val="18"/>
              </w:rPr>
              <w:t>V007</w:t>
            </w:r>
          </w:p>
        </w:tc>
        <w:tc>
          <w:tcPr>
            <w:tcW w:w="1860" w:type="dxa"/>
            <w:tcMar>
              <w:top w:w="0" w:type="dxa"/>
              <w:bottom w:w="0" w:type="dxa"/>
            </w:tcMar>
            <w:vAlign w:val="center"/>
          </w:tcPr>
          <w:p w:rsidR="005A6F60" w:rsidRDefault="00B31863">
            <w:pPr>
              <w:keepNext/>
              <w:keepLines/>
              <w:spacing w:after="0" w:line="240" w:lineRule="auto"/>
              <w:jc w:val="right"/>
            </w:pPr>
            <w:r>
              <w:rPr>
                <w:sz w:val="18"/>
              </w:rPr>
              <w:t>0,00</w:t>
            </w:r>
          </w:p>
        </w:tc>
        <w:tc>
          <w:tcPr>
            <w:tcW w:w="700" w:type="dxa"/>
            <w:tcMar>
              <w:top w:w="0" w:type="dxa"/>
              <w:bottom w:w="0" w:type="dxa"/>
            </w:tcMar>
            <w:vAlign w:val="center"/>
          </w:tcPr>
          <w:p w:rsidR="005A6F60" w:rsidRDefault="00B31863">
            <w:pPr>
              <w:keepNext/>
              <w:keepLines/>
              <w:spacing w:after="0" w:line="240" w:lineRule="auto"/>
              <w:jc w:val="right"/>
            </w:pPr>
            <w:r>
              <w:rPr>
                <w:sz w:val="18"/>
              </w:rPr>
              <w:t>-</w:t>
            </w:r>
          </w:p>
        </w:tc>
      </w:tr>
    </w:tbl>
    <w:p w:rsidR="005A6F60" w:rsidRDefault="005A6F60">
      <w:pPr>
        <w:spacing w:after="0"/>
      </w:pPr>
    </w:p>
    <w:p w:rsidR="005A6F60" w:rsidRDefault="00B31863">
      <w:r>
        <w:t>Sve obveze su nedospjele.</w:t>
      </w:r>
    </w:p>
    <w:p w:rsidR="005A6F60" w:rsidRDefault="005A6F60"/>
    <w:p w:rsidR="005A6F60" w:rsidRDefault="00B31863">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5A6F60">
        <w:tblPrEx>
          <w:tblCellMar>
            <w:top w:w="0" w:type="dxa"/>
            <w:bottom w:w="0" w:type="dxa"/>
          </w:tblCellMar>
        </w:tblPrEx>
        <w:trPr>
          <w:cantSplit/>
        </w:trPr>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5A6F60" w:rsidRDefault="00B31863">
            <w:pPr>
              <w:keepNext/>
              <w:keepLines/>
              <w:spacing w:after="0" w:line="240" w:lineRule="auto"/>
              <w:jc w:val="center"/>
            </w:pPr>
            <w:r>
              <w:rPr>
                <w:b/>
                <w:sz w:val="18"/>
              </w:rPr>
              <w:t>Indeks (%)</w:t>
            </w:r>
          </w:p>
        </w:tc>
      </w:tr>
      <w:tr w:rsidR="005A6F60">
        <w:tblPrEx>
          <w:tblCellMar>
            <w:top w:w="0" w:type="dxa"/>
            <w:bottom w:w="0" w:type="dxa"/>
          </w:tblCellMar>
        </w:tblPrEx>
        <w:trPr>
          <w:cantSplit/>
          <w:trHeight w:val="560"/>
        </w:trPr>
        <w:tc>
          <w:tcPr>
            <w:tcW w:w="700" w:type="dxa"/>
            <w:tcMar>
              <w:top w:w="0" w:type="dxa"/>
              <w:bottom w:w="0" w:type="dxa"/>
            </w:tcMar>
            <w:vAlign w:val="center"/>
          </w:tcPr>
          <w:p w:rsidR="005A6F60" w:rsidRDefault="005A6F60">
            <w:pPr>
              <w:keepNext/>
              <w:keepLines/>
              <w:spacing w:after="0" w:line="240" w:lineRule="auto"/>
            </w:pPr>
          </w:p>
        </w:tc>
        <w:tc>
          <w:tcPr>
            <w:tcW w:w="3180" w:type="dxa"/>
            <w:tcMar>
              <w:top w:w="0" w:type="dxa"/>
              <w:bottom w:w="0" w:type="dxa"/>
            </w:tcMar>
            <w:vAlign w:val="center"/>
          </w:tcPr>
          <w:p w:rsidR="005A6F60" w:rsidRDefault="00B31863">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5A6F60" w:rsidRDefault="00B31863">
            <w:pPr>
              <w:keepNext/>
              <w:keepLines/>
              <w:spacing w:after="0" w:line="240" w:lineRule="auto"/>
            </w:pPr>
            <w:r>
              <w:rPr>
                <w:sz w:val="18"/>
              </w:rPr>
              <w:t>V009</w:t>
            </w:r>
          </w:p>
        </w:tc>
        <w:tc>
          <w:tcPr>
            <w:tcW w:w="1860" w:type="dxa"/>
            <w:tcMar>
              <w:top w:w="0" w:type="dxa"/>
              <w:bottom w:w="0" w:type="dxa"/>
            </w:tcMar>
            <w:vAlign w:val="center"/>
          </w:tcPr>
          <w:p w:rsidR="005A6F60" w:rsidRDefault="00B31863">
            <w:pPr>
              <w:keepNext/>
              <w:keepLines/>
              <w:spacing w:after="0" w:line="240" w:lineRule="auto"/>
              <w:jc w:val="right"/>
            </w:pPr>
            <w:r>
              <w:rPr>
                <w:sz w:val="18"/>
              </w:rPr>
              <w:t>774.962,28</w:t>
            </w:r>
          </w:p>
        </w:tc>
        <w:tc>
          <w:tcPr>
            <w:tcW w:w="700" w:type="dxa"/>
            <w:tcMar>
              <w:top w:w="0" w:type="dxa"/>
              <w:bottom w:w="0" w:type="dxa"/>
            </w:tcMar>
            <w:vAlign w:val="center"/>
          </w:tcPr>
          <w:p w:rsidR="005A6F60" w:rsidRDefault="00B31863">
            <w:pPr>
              <w:keepNext/>
              <w:keepLines/>
              <w:spacing w:after="0" w:line="240" w:lineRule="auto"/>
              <w:jc w:val="right"/>
            </w:pPr>
            <w:r>
              <w:rPr>
                <w:sz w:val="18"/>
              </w:rPr>
              <w:t>-</w:t>
            </w:r>
          </w:p>
        </w:tc>
      </w:tr>
    </w:tbl>
    <w:p w:rsidR="005A6F60" w:rsidRDefault="005A6F60">
      <w:pPr>
        <w:spacing w:after="0"/>
      </w:pPr>
    </w:p>
    <w:p w:rsidR="005A6F60" w:rsidRDefault="00B31863">
      <w:r>
        <w:t>Stanje obveza Stomatološkog fakulteta na dan 31.12.2025. iznosi 774.962,28 eura, sve obveze su nedospjele. Od toga međusobne obveze proračunskih korisnika iznose 7.843,15 eura, a obveze za rashode poslovanja iznose 767.119,13 eura. Sastoje se od obveza: pl</w:t>
      </w:r>
      <w:r>
        <w:t xml:space="preserve">aće za prosinac 2025. </w:t>
      </w:r>
      <w:r>
        <w:lastRenderedPageBreak/>
        <w:t>podmirene u siječnju 2026. i materijalnih rashoda podmirenih u siječnju 2026. Međusobne obveze subjekata općeg proračuna odnose se na obveze za povrat sredstava na ime bolovanja koje refundira HZZO.</w:t>
      </w:r>
    </w:p>
    <w:p w:rsidR="005A6F60" w:rsidRDefault="005A6F60"/>
    <w:p w:rsidR="005A6F60" w:rsidRDefault="00B31863">
      <w:pPr>
        <w:keepNext/>
        <w:spacing w:line="240" w:lineRule="auto"/>
        <w:jc w:val="center"/>
      </w:pPr>
      <w:r>
        <w:rPr>
          <w:sz w:val="28"/>
        </w:rPr>
        <w:t>Bilješka 66.</w:t>
      </w:r>
    </w:p>
    <w:p w:rsidR="005A6F60" w:rsidRDefault="00B31863">
      <w:pPr>
        <w:spacing w:line="240" w:lineRule="auto"/>
        <w:jc w:val="both"/>
      </w:pPr>
      <w:r>
        <w:rPr>
          <w:b/>
        </w:rPr>
        <w:t>EU izvještaj</w:t>
      </w:r>
    </w:p>
    <w:p w:rsidR="005A6F60" w:rsidRDefault="00B31863">
      <w:r>
        <w:t>Izvor 58</w:t>
      </w:r>
      <w:r>
        <w:t>1 sastoji se od 15 NPOO projekata financiranih iz izvedbene komponente iz programskih ugovora.</w:t>
      </w:r>
    </w:p>
    <w:p w:rsidR="005A6F60" w:rsidRDefault="005A6F60"/>
    <w:sectPr w:rsidR="005A6F6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F60"/>
    <w:rsid w:val="005A6F60"/>
    <w:rsid w:val="00B31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C7E926-7CE7-4607-89B7-DE8284FA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5511</Words>
  <Characters>31415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afijala</dc:creator>
  <cp:lastModifiedBy>afijala</cp:lastModifiedBy>
  <cp:revision>2</cp:revision>
  <dcterms:created xsi:type="dcterms:W3CDTF">2026-02-02T10:27:00Z</dcterms:created>
  <dcterms:modified xsi:type="dcterms:W3CDTF">2026-02-02T10:27:00Z</dcterms:modified>
</cp:coreProperties>
</file>